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840" w:rsidRPr="00FD250B" w:rsidRDefault="00B5348F" w:rsidP="00101C5B">
      <w:pPr>
        <w:pStyle w:val="a4"/>
        <w:ind w:left="1069" w:firstLine="0"/>
        <w:jc w:val="center"/>
        <w:rPr>
          <w:rFonts w:cs="Times New Roman"/>
          <w:b/>
          <w:sz w:val="28"/>
          <w:szCs w:val="28"/>
        </w:rPr>
      </w:pPr>
      <w:bookmarkStart w:id="0" w:name="_GoBack"/>
      <w:bookmarkEnd w:id="0"/>
      <w:r>
        <w:rPr>
          <w:rFonts w:cs="Times New Roman"/>
          <w:b/>
          <w:sz w:val="28"/>
          <w:szCs w:val="28"/>
        </w:rPr>
        <w:t xml:space="preserve">Приложение 1. </w:t>
      </w:r>
      <w:r w:rsidR="004F2973" w:rsidRPr="00FD250B">
        <w:rPr>
          <w:rFonts w:cs="Times New Roman"/>
          <w:b/>
          <w:sz w:val="28"/>
          <w:szCs w:val="28"/>
        </w:rPr>
        <w:t>Опросный ли</w:t>
      </w:r>
      <w:r w:rsidR="00D66231" w:rsidRPr="00FD250B">
        <w:rPr>
          <w:rFonts w:cs="Times New Roman"/>
          <w:b/>
          <w:sz w:val="28"/>
          <w:szCs w:val="28"/>
        </w:rPr>
        <w:t>с</w:t>
      </w:r>
      <w:r w:rsidR="004F2973" w:rsidRPr="00FD250B">
        <w:rPr>
          <w:rFonts w:cs="Times New Roman"/>
          <w:b/>
          <w:sz w:val="28"/>
          <w:szCs w:val="28"/>
        </w:rPr>
        <w:t>т</w:t>
      </w:r>
    </w:p>
    <w:p w:rsidR="00101C5B" w:rsidRDefault="00101C5B" w:rsidP="000F4733">
      <w:pPr>
        <w:pStyle w:val="a4"/>
        <w:ind w:left="1069" w:firstLine="0"/>
        <w:rPr>
          <w:rFonts w:cs="Times New Roman"/>
          <w:b/>
        </w:rPr>
      </w:pPr>
    </w:p>
    <w:p w:rsidR="00C75259" w:rsidRDefault="0029330C" w:rsidP="00E5601B">
      <w:pPr>
        <w:pStyle w:val="a4"/>
        <w:ind w:left="567" w:firstLine="0"/>
        <w:rPr>
          <w:rFonts w:cs="Times New Roman"/>
          <w:b/>
        </w:rPr>
      </w:pPr>
      <w:r>
        <w:rPr>
          <w:rFonts w:cs="Times New Roman"/>
          <w:b/>
        </w:rPr>
        <w:t xml:space="preserve">Раздел 1. </w:t>
      </w:r>
      <w:r w:rsidR="00CA33ED">
        <w:rPr>
          <w:rFonts w:cs="Times New Roman"/>
          <w:b/>
        </w:rPr>
        <w:t xml:space="preserve">Данные о социально-экономическом положении субъекта </w:t>
      </w:r>
      <w:r w:rsidR="000F1236">
        <w:rPr>
          <w:rFonts w:cs="Times New Roman"/>
          <w:b/>
        </w:rPr>
        <w:t>РФ</w:t>
      </w:r>
    </w:p>
    <w:p w:rsidR="00CA33ED" w:rsidRPr="00CA33ED" w:rsidRDefault="00CA33ED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Валовой региональный продукт субъекта РФ, 2015 г.</w:t>
      </w:r>
    </w:p>
    <w:p w:rsidR="00CA33ED" w:rsidRPr="00CA33ED" w:rsidRDefault="00CA33ED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Индекс физического объема ВРП субъекта РФ, 2015 г.</w:t>
      </w:r>
    </w:p>
    <w:p w:rsidR="00CA33ED" w:rsidRPr="00CA33ED" w:rsidRDefault="00CA33ED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Структура ВРП по видам экономической деятельности субъекта РФ, 2015 г.</w:t>
      </w:r>
    </w:p>
    <w:p w:rsidR="00CA33ED" w:rsidRPr="00CA33ED" w:rsidRDefault="00CA33ED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Структура занятых по видам экономической деятельности субъекта РФ, 2015 г.</w:t>
      </w:r>
    </w:p>
    <w:p w:rsidR="00CA33ED" w:rsidRDefault="00CA33ED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Структура промышленного производства субъекта РФ по отраслям, 2015 г.</w:t>
      </w:r>
    </w:p>
    <w:p w:rsidR="00834035" w:rsidRPr="007F30FA" w:rsidRDefault="00834035" w:rsidP="00B5348F">
      <w:pPr>
        <w:pStyle w:val="a4"/>
        <w:numPr>
          <w:ilvl w:val="0"/>
          <w:numId w:val="1"/>
        </w:numPr>
        <w:tabs>
          <w:tab w:val="left" w:pos="851"/>
        </w:tabs>
        <w:ind w:left="567" w:hanging="567"/>
        <w:rPr>
          <w:rFonts w:cs="Times New Roman"/>
        </w:rPr>
      </w:pPr>
      <w:r>
        <w:rPr>
          <w:rFonts w:cs="Times New Roman"/>
        </w:rPr>
        <w:t>Перечень действующих аэропортов, пассажирооборот, 2015</w:t>
      </w:r>
    </w:p>
    <w:p w:rsidR="00A93DEE" w:rsidRPr="00CA33ED" w:rsidRDefault="00A93DEE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Удельный вес убыточных предприятий в секторе розничной торговли, 2015 г.</w:t>
      </w:r>
    </w:p>
    <w:p w:rsidR="008756DC" w:rsidRDefault="008756DC" w:rsidP="00B5348F">
      <w:pPr>
        <w:numPr>
          <w:ilvl w:val="0"/>
          <w:numId w:val="1"/>
        </w:numPr>
        <w:tabs>
          <w:tab w:val="left" w:pos="851"/>
        </w:tabs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Информация о крупнейших экспортерах (топ-10) за 2015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2094"/>
        <w:gridCol w:w="2050"/>
      </w:tblGrid>
      <w:tr w:rsidR="008756DC" w:rsidRPr="00CA33ED" w:rsidTr="000F1236">
        <w:trPr>
          <w:trHeight w:val="316"/>
          <w:jc w:val="center"/>
        </w:trPr>
        <w:tc>
          <w:tcPr>
            <w:tcW w:w="5070" w:type="dxa"/>
            <w:shd w:val="clear" w:color="auto" w:fill="auto"/>
            <w:hideMark/>
          </w:tcPr>
          <w:p w:rsidR="008756DC" w:rsidRPr="001151E3" w:rsidRDefault="008756DC" w:rsidP="00A93DEE">
            <w:pPr>
              <w:spacing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1151E3">
              <w:rPr>
                <w:rFonts w:eastAsia="Times New Roman"/>
                <w:b/>
                <w:lang w:eastAsia="ru-RU"/>
              </w:rPr>
              <w:t>Название предприятия</w:t>
            </w:r>
          </w:p>
        </w:tc>
        <w:tc>
          <w:tcPr>
            <w:tcW w:w="2094" w:type="dxa"/>
            <w:shd w:val="clear" w:color="auto" w:fill="auto"/>
            <w:hideMark/>
          </w:tcPr>
          <w:p w:rsidR="008756DC" w:rsidRPr="001151E3" w:rsidRDefault="008756DC" w:rsidP="00A93DEE">
            <w:pPr>
              <w:spacing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ОГРН</w:t>
            </w:r>
          </w:p>
        </w:tc>
        <w:tc>
          <w:tcPr>
            <w:tcW w:w="2050" w:type="dxa"/>
            <w:shd w:val="clear" w:color="auto" w:fill="auto"/>
            <w:hideMark/>
          </w:tcPr>
          <w:p w:rsidR="008756DC" w:rsidRPr="001151E3" w:rsidRDefault="008756DC" w:rsidP="00A93DEE">
            <w:pPr>
              <w:spacing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1151E3">
              <w:rPr>
                <w:rFonts w:eastAsia="Times New Roman"/>
                <w:b/>
                <w:lang w:eastAsia="ru-RU"/>
              </w:rPr>
              <w:t>Объем экспорта</w:t>
            </w: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2094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2094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2094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shd w:val="clear" w:color="auto" w:fill="auto"/>
            <w:vAlign w:val="bottom"/>
            <w:hideMark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2094" w:type="dxa"/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8.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8756DC" w:rsidRPr="00CA33ED" w:rsidTr="000F1236">
        <w:trPr>
          <w:trHeight w:val="315"/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10.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56DC" w:rsidRPr="00CA33ED" w:rsidRDefault="008756DC" w:rsidP="008756DC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8756DC" w:rsidRDefault="008756DC" w:rsidP="008756DC">
      <w:pPr>
        <w:spacing w:line="340" w:lineRule="exact"/>
        <w:contextualSpacing/>
        <w:jc w:val="both"/>
        <w:rPr>
          <w:szCs w:val="22"/>
        </w:rPr>
      </w:pPr>
    </w:p>
    <w:p w:rsidR="00CA33ED" w:rsidRPr="00CA33ED" w:rsidRDefault="00CA33ED" w:rsidP="00B5348F">
      <w:pPr>
        <w:numPr>
          <w:ilvl w:val="0"/>
          <w:numId w:val="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Информация об основных (топ-10), вывозимых из субъекта РФ товарных группах</w:t>
      </w:r>
    </w:p>
    <w:tbl>
      <w:tblPr>
        <w:tblW w:w="9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7"/>
        <w:gridCol w:w="1560"/>
        <w:gridCol w:w="850"/>
        <w:gridCol w:w="992"/>
        <w:gridCol w:w="992"/>
        <w:gridCol w:w="992"/>
        <w:gridCol w:w="1276"/>
      </w:tblGrid>
      <w:tr w:rsidR="00CA33ED" w:rsidRPr="00CA33ED" w:rsidTr="000F1236">
        <w:trPr>
          <w:trHeight w:val="319"/>
          <w:jc w:val="center"/>
        </w:trPr>
        <w:tc>
          <w:tcPr>
            <w:tcW w:w="2567" w:type="dxa"/>
            <w:vMerge w:val="restart"/>
            <w:shd w:val="clear" w:color="auto" w:fill="auto"/>
            <w:vAlign w:val="center"/>
            <w:hideMark/>
          </w:tcPr>
          <w:p w:rsidR="00CA33ED" w:rsidRPr="008756DC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56DC">
              <w:rPr>
                <w:rFonts w:eastAsia="Times New Roman"/>
                <w:color w:val="000000"/>
                <w:lang w:eastAsia="ru-RU"/>
              </w:rPr>
              <w:t>Название товарной группы</w:t>
            </w:r>
            <w:r w:rsidR="008756DC" w:rsidRPr="008756DC">
              <w:rPr>
                <w:rFonts w:eastAsia="Times New Roman"/>
                <w:color w:val="000000"/>
                <w:lang w:eastAsia="ru-RU"/>
              </w:rPr>
              <w:t xml:space="preserve"> (4 знака кла</w:t>
            </w:r>
            <w:r w:rsidR="008756DC">
              <w:rPr>
                <w:rFonts w:eastAsia="Times New Roman"/>
                <w:color w:val="000000"/>
                <w:lang w:eastAsia="ru-RU"/>
              </w:rPr>
              <w:t>с</w:t>
            </w:r>
            <w:r w:rsidR="008756DC" w:rsidRPr="008756DC">
              <w:rPr>
                <w:rFonts w:eastAsia="Times New Roman"/>
                <w:color w:val="000000"/>
                <w:lang w:eastAsia="ru-RU"/>
              </w:rPr>
              <w:t>си</w:t>
            </w:r>
            <w:r w:rsidR="008756DC">
              <w:rPr>
                <w:rFonts w:eastAsia="Times New Roman"/>
                <w:color w:val="000000"/>
                <w:lang w:eastAsia="ru-RU"/>
              </w:rPr>
              <w:t>фикаци</w:t>
            </w:r>
            <w:r w:rsidR="008756DC" w:rsidRPr="008756DC">
              <w:rPr>
                <w:rFonts w:eastAsia="Times New Roman"/>
                <w:color w:val="000000"/>
                <w:lang w:eastAsia="ru-RU"/>
              </w:rPr>
              <w:t>и)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CA33ED" w:rsidRPr="008756DC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56DC">
              <w:rPr>
                <w:rFonts w:eastAsia="Times New Roman"/>
                <w:color w:val="000000"/>
                <w:lang w:eastAsia="ru-RU"/>
              </w:rPr>
              <w:t>Объем экспорта, рубли, 2015</w:t>
            </w:r>
          </w:p>
        </w:tc>
        <w:tc>
          <w:tcPr>
            <w:tcW w:w="5102" w:type="dxa"/>
            <w:gridSpan w:val="5"/>
            <w:shd w:val="clear" w:color="auto" w:fill="auto"/>
            <w:vAlign w:val="center"/>
            <w:hideMark/>
          </w:tcPr>
          <w:p w:rsidR="00CA33ED" w:rsidRPr="008756DC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756DC">
              <w:rPr>
                <w:rFonts w:eastAsia="Times New Roman"/>
                <w:color w:val="000000"/>
                <w:lang w:eastAsia="ru-RU"/>
              </w:rPr>
              <w:t>Средняя цена за ед. товара, рубли</w:t>
            </w: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vMerge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2012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2013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2014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2015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1 пол. 2016</w:t>
            </w: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1.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2.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3.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4.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5.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6.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8.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9.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CA33ED" w:rsidRPr="00CA33ED" w:rsidTr="000F1236">
        <w:trPr>
          <w:trHeight w:val="315"/>
          <w:jc w:val="center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CA33ED">
              <w:rPr>
                <w:rFonts w:eastAsia="Times New Roman"/>
                <w:color w:val="000000"/>
                <w:lang w:eastAsia="ru-RU"/>
              </w:rPr>
              <w:t>10.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33ED" w:rsidRPr="00CA33ED" w:rsidRDefault="00CA33ED" w:rsidP="00CA33ED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A93DEE" w:rsidRDefault="00A93DEE" w:rsidP="00CA33ED">
      <w:pPr>
        <w:spacing w:line="340" w:lineRule="exact"/>
        <w:ind w:firstLine="709"/>
        <w:jc w:val="both"/>
        <w:rPr>
          <w:szCs w:val="22"/>
        </w:rPr>
        <w:sectPr w:rsidR="00A93DE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A33ED" w:rsidRPr="00CA33ED" w:rsidRDefault="00CA33ED" w:rsidP="00CA33ED">
      <w:pPr>
        <w:numPr>
          <w:ilvl w:val="0"/>
          <w:numId w:val="1"/>
        </w:numPr>
        <w:spacing w:line="340" w:lineRule="exact"/>
        <w:contextualSpacing/>
        <w:jc w:val="both"/>
        <w:rPr>
          <w:szCs w:val="22"/>
        </w:rPr>
      </w:pPr>
      <w:r w:rsidRPr="00CA33ED">
        <w:rPr>
          <w:szCs w:val="22"/>
        </w:rPr>
        <w:lastRenderedPageBreak/>
        <w:t>Информация о крупнейших налогоплательщиках (топ-10) по итогам последнего завершившегося года, 2015</w:t>
      </w:r>
    </w:p>
    <w:tbl>
      <w:tblPr>
        <w:tblW w:w="1404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6"/>
        <w:gridCol w:w="1843"/>
        <w:gridCol w:w="5103"/>
        <w:gridCol w:w="2976"/>
      </w:tblGrid>
      <w:tr w:rsidR="00A93DEE" w:rsidRPr="00CA33ED" w:rsidTr="00A93DEE">
        <w:trPr>
          <w:trHeight w:val="537"/>
        </w:trPr>
        <w:tc>
          <w:tcPr>
            <w:tcW w:w="4126" w:type="dxa"/>
            <w:shd w:val="clear" w:color="auto" w:fill="auto"/>
            <w:vAlign w:val="center"/>
            <w:hideMark/>
          </w:tcPr>
          <w:p w:rsidR="00A93DEE" w:rsidRPr="00A93DEE" w:rsidRDefault="00A93DEE" w:rsidP="00A93DE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93DEE">
              <w:t>Название налогоплательщика</w:t>
            </w:r>
          </w:p>
        </w:tc>
        <w:tc>
          <w:tcPr>
            <w:tcW w:w="1843" w:type="dxa"/>
            <w:vAlign w:val="center"/>
          </w:tcPr>
          <w:p w:rsidR="00A93DEE" w:rsidRPr="00A93DEE" w:rsidRDefault="00A93DEE" w:rsidP="00A93DE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93DEE">
              <w:t>ОГРН</w:t>
            </w:r>
          </w:p>
        </w:tc>
        <w:tc>
          <w:tcPr>
            <w:tcW w:w="5103" w:type="dxa"/>
            <w:shd w:val="clear" w:color="auto" w:fill="auto"/>
            <w:vAlign w:val="center"/>
            <w:hideMark/>
          </w:tcPr>
          <w:p w:rsidR="00A93DEE" w:rsidRPr="00A93DEE" w:rsidRDefault="00A93DEE" w:rsidP="00A93DEE">
            <w:pPr>
              <w:spacing w:line="240" w:lineRule="auto"/>
              <w:rPr>
                <w:rFonts w:eastAsia="Times New Roman"/>
                <w:lang w:eastAsia="ru-RU"/>
              </w:rPr>
            </w:pPr>
            <w:r w:rsidRPr="00A93DEE">
              <w:rPr>
                <w:rFonts w:eastAsia="Times New Roman"/>
                <w:lang w:eastAsia="ru-RU"/>
              </w:rPr>
              <w:t>Объем налогов собрано на территории субъекта РФ во все уровни власти, тыс. рублей</w:t>
            </w:r>
          </w:p>
        </w:tc>
        <w:tc>
          <w:tcPr>
            <w:tcW w:w="2976" w:type="dxa"/>
            <w:vAlign w:val="center"/>
          </w:tcPr>
          <w:p w:rsidR="00A93DEE" w:rsidRPr="00A93DEE" w:rsidRDefault="00A93DEE" w:rsidP="00A93DEE">
            <w:pPr>
              <w:spacing w:line="240" w:lineRule="auto"/>
            </w:pPr>
            <w:r w:rsidRPr="00A93DEE">
              <w:t>из них в региональный бюджет, %</w:t>
            </w: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  <w:hideMark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  <w:hideMark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  <w:hideMark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  <w:hideMark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5.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6.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7.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8.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9.</w:t>
            </w:r>
          </w:p>
        </w:tc>
        <w:tc>
          <w:tcPr>
            <w:tcW w:w="1843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A93DEE" w:rsidRPr="00CA33ED" w:rsidTr="00A93DEE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rPr>
                <w:rFonts w:eastAsia="Times New Roman"/>
                <w:lang w:eastAsia="ru-RU"/>
              </w:rPr>
            </w:pPr>
            <w:r w:rsidRPr="00CA33ED">
              <w:rPr>
                <w:rFonts w:eastAsia="Times New Roman"/>
                <w:lang w:eastAsia="ru-RU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DEE" w:rsidRPr="00CA33ED" w:rsidRDefault="00A93DEE" w:rsidP="00CA33ED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CA33ED" w:rsidRPr="00CA33ED" w:rsidRDefault="00CA33ED" w:rsidP="00CA33ED">
      <w:pPr>
        <w:spacing w:line="340" w:lineRule="exact"/>
        <w:jc w:val="both"/>
        <w:rPr>
          <w:szCs w:val="22"/>
        </w:rPr>
      </w:pPr>
    </w:p>
    <w:p w:rsidR="00CA33ED" w:rsidRPr="00CA33ED" w:rsidRDefault="00CA33ED" w:rsidP="00CA33ED">
      <w:pPr>
        <w:numPr>
          <w:ilvl w:val="0"/>
          <w:numId w:val="1"/>
        </w:numPr>
        <w:spacing w:line="340" w:lineRule="exact"/>
        <w:contextualSpacing/>
        <w:jc w:val="both"/>
        <w:rPr>
          <w:szCs w:val="22"/>
        </w:rPr>
      </w:pPr>
      <w:r w:rsidRPr="00CA33ED">
        <w:rPr>
          <w:szCs w:val="22"/>
        </w:rPr>
        <w:t>Информация о крупнейших инвестиционных проектах, реализуемых и реализованных в 2012 – 2016 гг.</w:t>
      </w:r>
    </w:p>
    <w:tbl>
      <w:tblPr>
        <w:tblStyle w:val="1"/>
        <w:tblW w:w="14034" w:type="dxa"/>
        <w:tblInd w:w="675" w:type="dxa"/>
        <w:tblLook w:val="04A0" w:firstRow="1" w:lastRow="0" w:firstColumn="1" w:lastColumn="0" w:noHBand="0" w:noVBand="1"/>
      </w:tblPr>
      <w:tblGrid>
        <w:gridCol w:w="2350"/>
        <w:gridCol w:w="1661"/>
        <w:gridCol w:w="772"/>
        <w:gridCol w:w="798"/>
        <w:gridCol w:w="798"/>
        <w:gridCol w:w="808"/>
        <w:gridCol w:w="794"/>
        <w:gridCol w:w="1658"/>
        <w:gridCol w:w="2127"/>
        <w:gridCol w:w="2268"/>
      </w:tblGrid>
      <w:tr w:rsidR="00F34402" w:rsidRPr="00CA33ED" w:rsidTr="000F1236">
        <w:tc>
          <w:tcPr>
            <w:tcW w:w="2350" w:type="dxa"/>
            <w:vMerge w:val="restart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Название проекта и основной инвестор</w:t>
            </w:r>
          </w:p>
        </w:tc>
        <w:tc>
          <w:tcPr>
            <w:tcW w:w="11684" w:type="dxa"/>
            <w:gridSpan w:val="9"/>
          </w:tcPr>
          <w:p w:rsidR="00F34402" w:rsidRPr="00CA33ED" w:rsidRDefault="00F34402" w:rsidP="00CA33ED">
            <w:pPr>
              <w:spacing w:line="240" w:lineRule="exact"/>
              <w:jc w:val="center"/>
            </w:pPr>
            <w:r w:rsidRPr="00CA33ED">
              <w:t>Объем инвестиций, тыс. рублей</w:t>
            </w:r>
          </w:p>
        </w:tc>
      </w:tr>
      <w:tr w:rsidR="00F34402" w:rsidRPr="00CA33ED" w:rsidTr="000F1236">
        <w:trPr>
          <w:trHeight w:val="718"/>
        </w:trPr>
        <w:tc>
          <w:tcPr>
            <w:tcW w:w="2350" w:type="dxa"/>
            <w:vMerge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План</w:t>
            </w:r>
            <w:r w:rsidR="00A93DEE">
              <w:t>ируемый объем инвестиций</w:t>
            </w: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2012</w:t>
            </w: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2013</w:t>
            </w: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2014</w:t>
            </w: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2015</w:t>
            </w: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 w:rsidRPr="00CA33ED">
              <w:t>1 пол. 2016</w:t>
            </w: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  <w:r>
              <w:t>Всего за 2012 – 2016 гг.</w:t>
            </w:r>
          </w:p>
        </w:tc>
        <w:tc>
          <w:tcPr>
            <w:tcW w:w="2127" w:type="dxa"/>
          </w:tcPr>
          <w:p w:rsidR="00F34402" w:rsidRPr="00CA33ED" w:rsidRDefault="00F34402" w:rsidP="000F1236">
            <w:pPr>
              <w:spacing w:line="240" w:lineRule="exact"/>
            </w:pPr>
            <w:r w:rsidRPr="00CA33ED">
              <w:t>в т.ч. инвестиции из регионального бюджета, %</w:t>
            </w: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</w:pPr>
            <w:r w:rsidRPr="00CA33ED">
              <w:t>в т.ч. инвестиции организаций с гос. участием, %</w:t>
            </w: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  <w:tr w:rsidR="00F34402" w:rsidRPr="00CA33ED" w:rsidTr="000F1236">
        <w:tc>
          <w:tcPr>
            <w:tcW w:w="2350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61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72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80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794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165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127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  <w:tc>
          <w:tcPr>
            <w:tcW w:w="2268" w:type="dxa"/>
          </w:tcPr>
          <w:p w:rsidR="00F34402" w:rsidRPr="00CA33ED" w:rsidRDefault="00F34402" w:rsidP="00CA33ED">
            <w:pPr>
              <w:spacing w:line="240" w:lineRule="exact"/>
              <w:jc w:val="both"/>
            </w:pPr>
          </w:p>
        </w:tc>
      </w:tr>
    </w:tbl>
    <w:p w:rsidR="000F1236" w:rsidRDefault="000F1236" w:rsidP="00CA33ED">
      <w:pPr>
        <w:spacing w:line="340" w:lineRule="exact"/>
        <w:jc w:val="both"/>
        <w:rPr>
          <w:szCs w:val="22"/>
        </w:rPr>
        <w:sectPr w:rsidR="000F1236" w:rsidSect="00A93DE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9330C" w:rsidRPr="00834035" w:rsidRDefault="00834035" w:rsidP="00B5348F">
      <w:pPr>
        <w:pStyle w:val="a4"/>
        <w:numPr>
          <w:ilvl w:val="0"/>
          <w:numId w:val="1"/>
        </w:numPr>
        <w:ind w:left="567" w:hanging="567"/>
        <w:rPr>
          <w:rFonts w:cs="Times New Roman"/>
        </w:rPr>
      </w:pPr>
      <w:r w:rsidRPr="00834035">
        <w:rPr>
          <w:rFonts w:cs="Times New Roman"/>
        </w:rPr>
        <w:lastRenderedPageBreak/>
        <w:t>Данные об инвестиционных проектах, реализованных с применение</w:t>
      </w:r>
      <w:r>
        <w:rPr>
          <w:rFonts w:cs="Times New Roman"/>
        </w:rPr>
        <w:t>м</w:t>
      </w:r>
      <w:r w:rsidRPr="00834035">
        <w:rPr>
          <w:rFonts w:cs="Times New Roman"/>
        </w:rPr>
        <w:t xml:space="preserve"> механизма ГЧП, за 2012-2016 гг. (при их наличии).</w:t>
      </w:r>
    </w:p>
    <w:tbl>
      <w:tblPr>
        <w:tblStyle w:val="1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056"/>
        <w:gridCol w:w="778"/>
        <w:gridCol w:w="806"/>
        <w:gridCol w:w="805"/>
        <w:gridCol w:w="818"/>
        <w:gridCol w:w="840"/>
        <w:gridCol w:w="2127"/>
      </w:tblGrid>
      <w:tr w:rsidR="000F1236" w:rsidRPr="000F1236" w:rsidTr="000F1236">
        <w:tc>
          <w:tcPr>
            <w:tcW w:w="2126" w:type="dxa"/>
            <w:vMerge w:val="restart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Название проекта и основной инвестор</w:t>
            </w:r>
          </w:p>
        </w:tc>
        <w:tc>
          <w:tcPr>
            <w:tcW w:w="5103" w:type="dxa"/>
            <w:gridSpan w:val="6"/>
            <w:vAlign w:val="center"/>
          </w:tcPr>
          <w:p w:rsidR="000F1236" w:rsidRPr="000F1236" w:rsidRDefault="000F1236" w:rsidP="000F1236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Объем инвестиций, тыс. рублей</w:t>
            </w:r>
          </w:p>
        </w:tc>
        <w:tc>
          <w:tcPr>
            <w:tcW w:w="2127" w:type="dxa"/>
            <w:vMerge w:val="restart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Форма соглашения о ГЧП (концессия, КЖЦ и др.)</w:t>
            </w:r>
          </w:p>
        </w:tc>
      </w:tr>
      <w:tr w:rsidR="000F1236" w:rsidRPr="000F1236" w:rsidTr="000F1236">
        <w:trPr>
          <w:trHeight w:val="754"/>
        </w:trPr>
        <w:tc>
          <w:tcPr>
            <w:tcW w:w="2126" w:type="dxa"/>
            <w:vMerge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78" w:type="dxa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806" w:type="dxa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05" w:type="dxa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818" w:type="dxa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840" w:type="dxa"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0F1236">
              <w:rPr>
                <w:rFonts w:ascii="Times New Roman" w:hAnsi="Times New Roman" w:cs="Times New Roman"/>
              </w:rPr>
              <w:t>1 пол. 2016</w:t>
            </w:r>
          </w:p>
        </w:tc>
        <w:tc>
          <w:tcPr>
            <w:tcW w:w="2127" w:type="dxa"/>
            <w:vMerge/>
            <w:vAlign w:val="center"/>
          </w:tcPr>
          <w:p w:rsidR="000F1236" w:rsidRPr="000F1236" w:rsidRDefault="000F1236" w:rsidP="000F1236">
            <w:pPr>
              <w:spacing w:line="240" w:lineRule="exact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  <w:tr w:rsidR="00834035" w:rsidRPr="000F1236" w:rsidTr="000F1236">
        <w:tc>
          <w:tcPr>
            <w:tcW w:w="212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7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05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18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34035" w:rsidRPr="000F1236" w:rsidRDefault="00834035" w:rsidP="0029330C">
            <w:pPr>
              <w:spacing w:line="240" w:lineRule="exact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A33ED" w:rsidRPr="00CA33ED" w:rsidRDefault="00CA33ED" w:rsidP="00B5348F">
      <w:pPr>
        <w:numPr>
          <w:ilvl w:val="0"/>
          <w:numId w:val="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Стратегия социально-экономического развития субъекта РФ (документ).</w:t>
      </w:r>
    </w:p>
    <w:p w:rsidR="00CA33ED" w:rsidRPr="00CA33ED" w:rsidRDefault="00CA33ED" w:rsidP="00B5348F">
      <w:pPr>
        <w:numPr>
          <w:ilvl w:val="0"/>
          <w:numId w:val="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Инвестиционная стратегия социально-экономического развития субъекта РФ (до</w:t>
      </w:r>
      <w:r w:rsidR="00D453B3">
        <w:rPr>
          <w:szCs w:val="22"/>
        </w:rPr>
        <w:t>к</w:t>
      </w:r>
      <w:r w:rsidRPr="00CA33ED">
        <w:rPr>
          <w:szCs w:val="22"/>
        </w:rPr>
        <w:t>умент).</w:t>
      </w:r>
    </w:p>
    <w:p w:rsidR="00563012" w:rsidRPr="00FD250B" w:rsidRDefault="00CA33ED" w:rsidP="00B5348F">
      <w:pPr>
        <w:numPr>
          <w:ilvl w:val="0"/>
          <w:numId w:val="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CA33ED">
        <w:rPr>
          <w:szCs w:val="22"/>
        </w:rPr>
        <w:t>Перечень основных кратко- и среднесрочных программных документов по развитию субъекта РФ.</w:t>
      </w:r>
    </w:p>
    <w:p w:rsidR="00FD250B" w:rsidRDefault="00FD250B">
      <w:pPr>
        <w:rPr>
          <w:b/>
          <w:szCs w:val="22"/>
        </w:rPr>
      </w:pPr>
      <w:r>
        <w:rPr>
          <w:b/>
        </w:rPr>
        <w:br w:type="page"/>
      </w:r>
    </w:p>
    <w:p w:rsidR="00C75259" w:rsidRDefault="0029330C" w:rsidP="00E5601B">
      <w:pPr>
        <w:pStyle w:val="a4"/>
        <w:ind w:left="567" w:firstLine="0"/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Раздел 2. </w:t>
      </w:r>
      <w:r w:rsidR="00CA33ED">
        <w:rPr>
          <w:rFonts w:cs="Times New Roman"/>
          <w:b/>
        </w:rPr>
        <w:t>Данные о государственном бюджете</w:t>
      </w:r>
      <w:r w:rsidR="007B1D52">
        <w:rPr>
          <w:rFonts w:cs="Times New Roman"/>
          <w:b/>
        </w:rPr>
        <w:t xml:space="preserve"> и расходных обязательствах</w:t>
      </w:r>
      <w:r w:rsidR="00CA33ED">
        <w:rPr>
          <w:rFonts w:cs="Times New Roman"/>
          <w:b/>
        </w:rPr>
        <w:t xml:space="preserve"> субъекта </w:t>
      </w:r>
      <w:r w:rsidR="00DF0615">
        <w:rPr>
          <w:rFonts w:cs="Times New Roman"/>
          <w:b/>
        </w:rPr>
        <w:t>РФ</w:t>
      </w:r>
    </w:p>
    <w:p w:rsidR="007B1D52" w:rsidRPr="007B1D5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B1D52">
        <w:rPr>
          <w:szCs w:val="22"/>
        </w:rPr>
        <w:t xml:space="preserve">Реестр расходных обязательств субъекта РФ на 2016 г. (в случае отсутствия - на последнюю </w:t>
      </w:r>
      <w:r w:rsidR="000F1236">
        <w:rPr>
          <w:szCs w:val="22"/>
        </w:rPr>
        <w:t xml:space="preserve">отчетную </w:t>
      </w:r>
      <w:r w:rsidRPr="007B1D52">
        <w:rPr>
          <w:szCs w:val="22"/>
        </w:rPr>
        <w:t>дату).</w:t>
      </w:r>
    </w:p>
    <w:p w:rsidR="007B1D52" w:rsidRPr="007B1D5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B1D52">
        <w:rPr>
          <w:szCs w:val="22"/>
        </w:rPr>
        <w:t xml:space="preserve">Законы о бюджете субъекта РФ на 2012 г., 2013 г., 2014 г., 2015 г. (первоначальная и последняя редакции), таблицы в формате </w:t>
      </w:r>
      <w:r w:rsidRPr="007B1D52">
        <w:rPr>
          <w:szCs w:val="22"/>
          <w:lang w:val="en-US"/>
        </w:rPr>
        <w:t>excel</w:t>
      </w:r>
      <w:r w:rsidRPr="007B1D52">
        <w:rPr>
          <w:szCs w:val="22"/>
        </w:rPr>
        <w:t>.</w:t>
      </w:r>
    </w:p>
    <w:p w:rsidR="007B1D52" w:rsidRPr="007B1D5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B1D52">
        <w:rPr>
          <w:szCs w:val="22"/>
        </w:rPr>
        <w:t xml:space="preserve">Законы о бюджете муниципальных образований субъекта РФ на 2012 г., 2013 г., 2014 г., 2015 г. (первоначальная и последняя редакции), таблицы в формате </w:t>
      </w:r>
      <w:r w:rsidRPr="007B1D52">
        <w:rPr>
          <w:szCs w:val="22"/>
          <w:lang w:val="en-US"/>
        </w:rPr>
        <w:t>excel</w:t>
      </w:r>
      <w:r w:rsidRPr="007B1D52">
        <w:rPr>
          <w:szCs w:val="22"/>
        </w:rPr>
        <w:t>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B1D52">
        <w:rPr>
          <w:szCs w:val="22"/>
        </w:rPr>
        <w:t xml:space="preserve">Отчеты об исполнении бюджета субъекта РФ по расходам за 2012 г., 2013 г., 2014 г., 2015 г. (поквартально </w:t>
      </w:r>
      <w:r w:rsidR="00DF0615">
        <w:rPr>
          <w:szCs w:val="22"/>
        </w:rPr>
        <w:t>и годовой), остальные - годовые</w:t>
      </w:r>
      <w:r w:rsidRPr="007B1D52">
        <w:rPr>
          <w:szCs w:val="22"/>
        </w:rPr>
        <w:t xml:space="preserve"> (в формате </w:t>
      </w:r>
      <w:r w:rsidRPr="007B1D52">
        <w:rPr>
          <w:szCs w:val="22"/>
          <w:lang w:val="en-US"/>
        </w:rPr>
        <w:t>excel</w:t>
      </w:r>
      <w:r w:rsidRPr="00F34402">
        <w:rPr>
          <w:szCs w:val="22"/>
        </w:rPr>
        <w:t>)</w:t>
      </w:r>
      <w:r w:rsidR="00DF0615">
        <w:rPr>
          <w:szCs w:val="22"/>
        </w:rPr>
        <w:t>,</w:t>
      </w:r>
      <w:r w:rsidRPr="00F34402">
        <w:rPr>
          <w:szCs w:val="22"/>
        </w:rPr>
        <w:t xml:space="preserve"> в том числе в разрезе: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разделов/подразделов бюджетной классификации расходов, целевых статей, видов расходов и КОСГУ;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программной структуры (при наличии);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ве</w:t>
      </w:r>
      <w:r w:rsidR="00DF0615">
        <w:rPr>
          <w:szCs w:val="22"/>
        </w:rPr>
        <w:t>домственной структуры расходов.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 xml:space="preserve">Отчеты об исполнении бюджетов муниципальных образований субъекта РФ по расходам за 2012 г., 2013 г., 2014 г., 2015 г. (поквартально и годовой), остальные - годовые (в формате </w:t>
      </w:r>
      <w:r w:rsidRPr="00F34402">
        <w:rPr>
          <w:szCs w:val="22"/>
          <w:lang w:val="en-US"/>
        </w:rPr>
        <w:t>excel</w:t>
      </w:r>
      <w:r w:rsidRPr="00F34402">
        <w:rPr>
          <w:szCs w:val="22"/>
        </w:rPr>
        <w:t>), в том числе в разрезе: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разделов/подразделов бюджетной классификации расходов, целевых статей, видов расходов и КОСГУ;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программной структуры (при наличии);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 xml:space="preserve">ведомственной структуры расходов. 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налоговых льгот по налогам, установленных законодательством субъекта РФ за 2015 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налоговых льгот по налогам, установленным решениями органов местного самоуправления за 2015 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Перечень используемых в 2015 г. на уровне субъекта РФ видов региональных налогов и сборов.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Перечень используемых в 2015 г. на уровне муниципальных образований</w:t>
      </w:r>
      <w:r w:rsidRPr="00F34402">
        <w:rPr>
          <w:rFonts w:cstheme="minorBidi"/>
          <w:szCs w:val="22"/>
        </w:rPr>
        <w:t xml:space="preserve"> </w:t>
      </w:r>
      <w:r w:rsidRPr="00F34402">
        <w:rPr>
          <w:szCs w:val="22"/>
        </w:rPr>
        <w:t>субъекта РФ видов местных налогов и сборов.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Уровень применяемых в 2015 г. в субъекте РФ налоговых ставок по региональным налогам и сборам.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Уровень применяемых в 2015 г. налоговых ставок по местным налогам и сборам.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Перечень применяемых в 2015 г. индивидуальных налоговых льгот по региональным налогам и сборам.</w:t>
      </w:r>
    </w:p>
    <w:p w:rsidR="007B1D5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Перечень применяемых в 2015 г. индивидуальных налоговых льгот по местным налогам и сборам.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расходов бюджета субъекта РФ на предоставление ссуд юридическим лицам за 2015 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расходов консолидированного бюджета субъекта РФ на финансовое обеспечение оказания бюджетными и автономными учреждениями государственных (муниципальных) услуг, определенных на основе нормативов затрат за 2015 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lastRenderedPageBreak/>
        <w:t>Объем остатков бюджетных ассигнований на осуществление бюджетных инвестиций</w:t>
      </w:r>
      <w:r w:rsidRPr="00F34402">
        <w:rPr>
          <w:rFonts w:cstheme="minorBidi"/>
          <w:szCs w:val="22"/>
        </w:rPr>
        <w:t xml:space="preserve"> </w:t>
      </w:r>
      <w:r w:rsidRPr="00F34402">
        <w:rPr>
          <w:szCs w:val="22"/>
        </w:rPr>
        <w:t>консолидированного бюджета субъекта РФ, не использованных на конец финансового года за 2015 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Расходы консолидированного бюджета субъекта РФ на музеи за 2012 – 2015 гг.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внебюджетных поступлений консолидированного бюджета субъекта РФ по музеям за 2012 – 2015 гг.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финансирования территориальных программ государственных гарантий, в том числе за счет средств ОМС за 2012 – 2015 гг.</w:t>
      </w:r>
    </w:p>
    <w:p w:rsidR="007B1D52" w:rsidRPr="00F34402" w:rsidRDefault="007B1D52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Объем расходов на здравоохранение за 2012 – 2015 гг., всего, в том числе за счет: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консолидированного бюджета субъекта РФ;</w:t>
      </w:r>
    </w:p>
    <w:p w:rsidR="007B1D52" w:rsidRPr="00F34402" w:rsidRDefault="007B1D52" w:rsidP="000F1236">
      <w:pPr>
        <w:numPr>
          <w:ilvl w:val="1"/>
          <w:numId w:val="7"/>
        </w:numPr>
        <w:spacing w:line="340" w:lineRule="exact"/>
        <w:contextualSpacing/>
        <w:jc w:val="both"/>
        <w:rPr>
          <w:szCs w:val="22"/>
        </w:rPr>
      </w:pPr>
      <w:r w:rsidRPr="00F34402">
        <w:rPr>
          <w:szCs w:val="22"/>
        </w:rPr>
        <w:t>территориального фонда обязательного медицинского страхования.</w:t>
      </w:r>
    </w:p>
    <w:p w:rsidR="007C3DA0" w:rsidRDefault="007C3DA0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>
        <w:rPr>
          <w:szCs w:val="22"/>
        </w:rPr>
        <w:t>Объем и динамика налоговых доходов муниципального образования – административного центра субъекта РФ (2012 – 2015 гг.);</w:t>
      </w:r>
    </w:p>
    <w:p w:rsidR="007C3DA0" w:rsidRDefault="007C3DA0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>
        <w:rPr>
          <w:szCs w:val="22"/>
        </w:rPr>
        <w:t>Объем и динамика неналоговых доходов муниципального образования – административного центра субъекта РФ (2012 – 2015 гг.);</w:t>
      </w:r>
    </w:p>
    <w:p w:rsidR="007C3DA0" w:rsidRPr="00F34402" w:rsidRDefault="007C3DA0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>
        <w:rPr>
          <w:szCs w:val="22"/>
        </w:rPr>
        <w:t>Объем и динамика трансфертов из бюджетов вышестоящих уровней муниципального образования – административного центра субъекта РФ (2012 – 205 гг.).</w:t>
      </w:r>
    </w:p>
    <w:p w:rsidR="00FD250B" w:rsidRDefault="007C3DA0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C3DA0">
        <w:rPr>
          <w:szCs w:val="22"/>
        </w:rPr>
        <w:t xml:space="preserve">Объем и динамика расходов </w:t>
      </w:r>
      <w:r>
        <w:rPr>
          <w:szCs w:val="22"/>
        </w:rPr>
        <w:t>муниципального образования – административного центра субъекта РФ (2012 – 2015 гг.).</w:t>
      </w:r>
    </w:p>
    <w:p w:rsidR="00FD250B" w:rsidRPr="00FD250B" w:rsidRDefault="00FD250B" w:rsidP="00B5348F">
      <w:pPr>
        <w:numPr>
          <w:ilvl w:val="0"/>
          <w:numId w:val="7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D250B">
        <w:t>Консолидированные (очищенные от межмуниципальных перечислений) расходы муниципальных бюджетов субъекта РФ (муниципальных образований субъекта РФ) в 2012-2015 гг., всего, включая:</w:t>
      </w:r>
    </w:p>
    <w:p w:rsidR="00FD250B" w:rsidRPr="00FD250B" w:rsidRDefault="00FD250B" w:rsidP="00FD250B">
      <w:pPr>
        <w:ind w:left="851"/>
        <w:jc w:val="both"/>
      </w:pPr>
      <w:r w:rsidRPr="00FD250B">
        <w:t>- Расходы муниципальных образований субъекта РФ на социальную сферу:</w:t>
      </w:r>
    </w:p>
    <w:p w:rsidR="00FD250B" w:rsidRPr="00FD250B" w:rsidRDefault="00FD250B" w:rsidP="00FD250B">
      <w:pPr>
        <w:pStyle w:val="a4"/>
        <w:numPr>
          <w:ilvl w:val="0"/>
          <w:numId w:val="19"/>
        </w:numPr>
        <w:spacing w:line="256" w:lineRule="auto"/>
        <w:ind w:left="1701"/>
        <w:rPr>
          <w:rFonts w:cs="Times New Roman"/>
          <w:szCs w:val="24"/>
        </w:rPr>
      </w:pPr>
      <w:r w:rsidRPr="00FD250B">
        <w:rPr>
          <w:rFonts w:cs="Times New Roman"/>
          <w:szCs w:val="24"/>
        </w:rPr>
        <w:t>образование</w:t>
      </w:r>
    </w:p>
    <w:p w:rsidR="00FD250B" w:rsidRPr="00FD250B" w:rsidRDefault="00FD250B" w:rsidP="00FD250B">
      <w:pPr>
        <w:pStyle w:val="a4"/>
        <w:numPr>
          <w:ilvl w:val="0"/>
          <w:numId w:val="19"/>
        </w:numPr>
        <w:spacing w:line="256" w:lineRule="auto"/>
        <w:ind w:left="1701"/>
        <w:rPr>
          <w:rFonts w:cs="Times New Roman"/>
          <w:szCs w:val="24"/>
        </w:rPr>
      </w:pPr>
      <w:r w:rsidRPr="00FD250B">
        <w:rPr>
          <w:rFonts w:cs="Times New Roman"/>
          <w:szCs w:val="24"/>
        </w:rPr>
        <w:t>культура, кинематография</w:t>
      </w:r>
    </w:p>
    <w:p w:rsidR="00FD250B" w:rsidRPr="00FD250B" w:rsidRDefault="00FD250B" w:rsidP="00FD250B">
      <w:pPr>
        <w:pStyle w:val="a4"/>
        <w:numPr>
          <w:ilvl w:val="0"/>
          <w:numId w:val="19"/>
        </w:numPr>
        <w:spacing w:line="256" w:lineRule="auto"/>
        <w:ind w:left="1701"/>
        <w:rPr>
          <w:rFonts w:cs="Times New Roman"/>
          <w:szCs w:val="24"/>
        </w:rPr>
      </w:pPr>
      <w:r w:rsidRPr="00FD250B">
        <w:rPr>
          <w:rFonts w:cs="Times New Roman"/>
          <w:szCs w:val="24"/>
        </w:rPr>
        <w:t>социальная политика</w:t>
      </w:r>
    </w:p>
    <w:p w:rsidR="00FD250B" w:rsidRPr="00FD250B" w:rsidRDefault="00FD250B" w:rsidP="00FD250B">
      <w:pPr>
        <w:pStyle w:val="a4"/>
        <w:numPr>
          <w:ilvl w:val="0"/>
          <w:numId w:val="19"/>
        </w:numPr>
        <w:spacing w:line="256" w:lineRule="auto"/>
        <w:ind w:left="1701"/>
        <w:rPr>
          <w:rFonts w:cs="Times New Roman"/>
          <w:szCs w:val="24"/>
        </w:rPr>
      </w:pPr>
      <w:r w:rsidRPr="00FD250B">
        <w:rPr>
          <w:rFonts w:cs="Times New Roman"/>
          <w:szCs w:val="24"/>
        </w:rPr>
        <w:t>здравоохранение</w:t>
      </w:r>
    </w:p>
    <w:p w:rsidR="00FD250B" w:rsidRPr="00FD250B" w:rsidRDefault="00FD250B" w:rsidP="00FD250B">
      <w:pPr>
        <w:pStyle w:val="a4"/>
        <w:numPr>
          <w:ilvl w:val="0"/>
          <w:numId w:val="19"/>
        </w:numPr>
        <w:spacing w:line="256" w:lineRule="auto"/>
        <w:ind w:left="1701"/>
        <w:rPr>
          <w:rFonts w:cs="Times New Roman"/>
          <w:szCs w:val="24"/>
        </w:rPr>
      </w:pPr>
      <w:r w:rsidRPr="00FD250B">
        <w:rPr>
          <w:rFonts w:cs="Times New Roman"/>
          <w:szCs w:val="24"/>
        </w:rPr>
        <w:t>физкультура и спорт</w:t>
      </w:r>
    </w:p>
    <w:p w:rsidR="00FD250B" w:rsidRPr="00FD250B" w:rsidRDefault="00FD250B" w:rsidP="00FD250B">
      <w:pPr>
        <w:pStyle w:val="a4"/>
        <w:numPr>
          <w:ilvl w:val="0"/>
          <w:numId w:val="19"/>
        </w:numPr>
        <w:spacing w:line="256" w:lineRule="auto"/>
        <w:ind w:left="1701"/>
        <w:rPr>
          <w:rFonts w:cs="Times New Roman"/>
          <w:szCs w:val="24"/>
        </w:rPr>
      </w:pPr>
      <w:r w:rsidRPr="00FD250B">
        <w:rPr>
          <w:rFonts w:cs="Times New Roman"/>
          <w:szCs w:val="24"/>
        </w:rPr>
        <w:t xml:space="preserve">СМИ </w:t>
      </w:r>
    </w:p>
    <w:p w:rsidR="00FD250B" w:rsidRPr="00FD250B" w:rsidRDefault="00FD250B" w:rsidP="00FD250B">
      <w:pPr>
        <w:ind w:left="851"/>
        <w:jc w:val="both"/>
      </w:pPr>
      <w:r w:rsidRPr="00FD250B">
        <w:t>- Расходы муниципальных образований субъекта РФ на содержание органов местного самоуправления.</w:t>
      </w:r>
    </w:p>
    <w:p w:rsidR="00FD250B" w:rsidRPr="00FD250B" w:rsidRDefault="00FD250B" w:rsidP="00FD250B">
      <w:pPr>
        <w:ind w:left="851"/>
        <w:jc w:val="both"/>
      </w:pPr>
      <w:r w:rsidRPr="00FD250B">
        <w:t>- Расходы муниципальных образований субъекта РФ на организацию охраны общественного порядка.</w:t>
      </w:r>
    </w:p>
    <w:p w:rsidR="00FD250B" w:rsidRPr="00FD250B" w:rsidRDefault="00FD250B" w:rsidP="00FD250B">
      <w:pPr>
        <w:ind w:left="851"/>
        <w:jc w:val="both"/>
      </w:pPr>
      <w:r w:rsidRPr="00FD250B">
        <w:t xml:space="preserve">- Расходы муниципальных образований субъекта РФ на развитие экономики </w:t>
      </w:r>
    </w:p>
    <w:p w:rsidR="00FD250B" w:rsidRPr="00FD250B" w:rsidRDefault="00FD250B" w:rsidP="00FD250B">
      <w:pPr>
        <w:ind w:left="851"/>
        <w:jc w:val="both"/>
      </w:pPr>
      <w:r w:rsidRPr="00FD250B">
        <w:t xml:space="preserve">- Расходы муниципальных бюджетов субъекта РФ, направленные на финансирование муниципальных учреждений. </w:t>
      </w:r>
    </w:p>
    <w:p w:rsidR="00FD250B" w:rsidRPr="00FD250B" w:rsidRDefault="00FD250B" w:rsidP="00FD250B">
      <w:pPr>
        <w:ind w:left="851"/>
        <w:jc w:val="both"/>
      </w:pPr>
      <w:r w:rsidRPr="00FD250B">
        <w:t>- Расходы муниципальных бюджетов субъекта РФ на субсидии на финансовое обеспечение выполнения муниципальных заданий на оказание муниципальных услуг (выполнение работ).</w:t>
      </w:r>
    </w:p>
    <w:p w:rsidR="00FD250B" w:rsidRDefault="00FD250B">
      <w:pPr>
        <w:rPr>
          <w:b/>
          <w:szCs w:val="22"/>
        </w:rPr>
      </w:pPr>
      <w:r>
        <w:rPr>
          <w:b/>
        </w:rPr>
        <w:br w:type="page"/>
      </w:r>
    </w:p>
    <w:p w:rsidR="00BE3D68" w:rsidRPr="00F34402" w:rsidRDefault="00BE3D68" w:rsidP="00E5601B">
      <w:pPr>
        <w:pStyle w:val="a4"/>
        <w:ind w:left="567" w:firstLine="0"/>
        <w:rPr>
          <w:rFonts w:cs="Times New Roman"/>
          <w:b/>
        </w:rPr>
      </w:pPr>
      <w:r w:rsidRPr="00F34402">
        <w:rPr>
          <w:rFonts w:cs="Times New Roman"/>
          <w:b/>
        </w:rPr>
        <w:lastRenderedPageBreak/>
        <w:t xml:space="preserve">Раздел 3. Данные о долге субъекта </w:t>
      </w:r>
      <w:r w:rsidR="00065804">
        <w:rPr>
          <w:rFonts w:cs="Times New Roman"/>
          <w:b/>
        </w:rPr>
        <w:t>РФ</w:t>
      </w:r>
    </w:p>
    <w:p w:rsidR="007C3DA0" w:rsidRPr="00F34402" w:rsidRDefault="007C3DA0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Расчетный уровень бюджетной обеспеченности субъекта РФ, 2012 – 2015 гг.</w:t>
      </w:r>
    </w:p>
    <w:p w:rsidR="007C3DA0" w:rsidRDefault="007C3DA0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>
        <w:rPr>
          <w:szCs w:val="22"/>
        </w:rPr>
        <w:t>Долговые книги субъекта РФ (2012 – 2015 гг.)</w:t>
      </w:r>
    </w:p>
    <w:p w:rsidR="007C3DA0" w:rsidRPr="00F34402" w:rsidRDefault="007C3DA0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Долгов</w:t>
      </w:r>
      <w:r>
        <w:rPr>
          <w:szCs w:val="22"/>
        </w:rPr>
        <w:t>ые</w:t>
      </w:r>
      <w:r w:rsidRPr="00F34402">
        <w:rPr>
          <w:szCs w:val="22"/>
        </w:rPr>
        <w:t xml:space="preserve"> книг</w:t>
      </w:r>
      <w:r>
        <w:rPr>
          <w:szCs w:val="22"/>
        </w:rPr>
        <w:t>и</w:t>
      </w:r>
      <w:r w:rsidRPr="00F34402">
        <w:rPr>
          <w:szCs w:val="22"/>
        </w:rPr>
        <w:t xml:space="preserve"> муниципального образования</w:t>
      </w:r>
      <w:r>
        <w:rPr>
          <w:szCs w:val="22"/>
        </w:rPr>
        <w:t xml:space="preserve"> – административного центра</w:t>
      </w:r>
      <w:r w:rsidRPr="00F34402">
        <w:rPr>
          <w:szCs w:val="22"/>
        </w:rPr>
        <w:t xml:space="preserve"> субъекта РФ (2012 – 2015 гг.)</w:t>
      </w:r>
    </w:p>
    <w:p w:rsidR="00BE3D68" w:rsidRPr="00F34402" w:rsidRDefault="00BE3D68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F34402">
        <w:rPr>
          <w:szCs w:val="22"/>
        </w:rPr>
        <w:t>Информация об облигационных обязательствах региона на последнюю отчетную дату.</w:t>
      </w:r>
    </w:p>
    <w:tbl>
      <w:tblPr>
        <w:tblW w:w="92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1134"/>
        <w:gridCol w:w="1276"/>
        <w:gridCol w:w="1276"/>
        <w:gridCol w:w="992"/>
        <w:gridCol w:w="1418"/>
      </w:tblGrid>
      <w:tr w:rsidR="00F34402" w:rsidRPr="00F34402" w:rsidTr="007C3DA0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Дата выпуска облигационного займа (гос. регистрационный номер)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Валюта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Сумма,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Остаток, 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Купон,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Дата погашения</w:t>
            </w:r>
          </w:p>
        </w:tc>
      </w:tr>
      <w:tr w:rsidR="00F34402" w:rsidRPr="00F34402" w:rsidTr="007C3DA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7C3DA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7C3DA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E3D68" w:rsidRPr="00F34402" w:rsidTr="007C3DA0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…………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7C3DA0" w:rsidRPr="00BE3D68" w:rsidRDefault="007C3DA0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BE3D68">
        <w:rPr>
          <w:szCs w:val="22"/>
        </w:rPr>
        <w:t>Объем краткосрочного долга, срок погашения которого наступает в течение ближайших 12 месяцев (за вычетом объема текущих остатков на счетах), 2015, 1 пол. 2016.</w:t>
      </w:r>
    </w:p>
    <w:p w:rsidR="007C3DA0" w:rsidRPr="00BE3D68" w:rsidRDefault="007C3DA0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BE3D68">
        <w:rPr>
          <w:szCs w:val="22"/>
        </w:rPr>
        <w:t>Объем неиспользованных кредитных линий на последнюю отчетную дату.</w:t>
      </w:r>
    </w:p>
    <w:p w:rsidR="007C3DA0" w:rsidRPr="00BE3D68" w:rsidRDefault="007C3DA0" w:rsidP="005D2D8B">
      <w:pPr>
        <w:numPr>
          <w:ilvl w:val="0"/>
          <w:numId w:val="8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BE3D68">
        <w:rPr>
          <w:szCs w:val="22"/>
        </w:rPr>
        <w:t>Данные о наличии заложенного имущества у региона</w:t>
      </w:r>
      <w:r>
        <w:rPr>
          <w:szCs w:val="22"/>
        </w:rPr>
        <w:t xml:space="preserve"> </w:t>
      </w:r>
      <w:r w:rsidRPr="00BE3D68">
        <w:rPr>
          <w:szCs w:val="22"/>
        </w:rPr>
        <w:t>на последнюю отчетную дату</w:t>
      </w:r>
      <w:r>
        <w:rPr>
          <w:szCs w:val="22"/>
        </w:rPr>
        <w:t>.</w:t>
      </w:r>
    </w:p>
    <w:tbl>
      <w:tblPr>
        <w:tblW w:w="9214" w:type="dxa"/>
        <w:tblInd w:w="250" w:type="dxa"/>
        <w:tblLook w:val="04A0" w:firstRow="1" w:lastRow="0" w:firstColumn="1" w:lastColumn="0" w:noHBand="0" w:noVBand="1"/>
      </w:tblPr>
      <w:tblGrid>
        <w:gridCol w:w="516"/>
        <w:gridCol w:w="2886"/>
        <w:gridCol w:w="2977"/>
        <w:gridCol w:w="2835"/>
      </w:tblGrid>
      <w:tr w:rsidR="007C3DA0" w:rsidRPr="00BE3D68" w:rsidTr="007C3DA0">
        <w:trPr>
          <w:trHeight w:val="40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2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Наименование заложенного актива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Вид заложенного объекта (ОС, ценные бумаги, прочее)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Балансовая стоимость, тыс. рублей</w:t>
            </w: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1.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2.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3.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4.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5.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6.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3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7.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8.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9.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10.</w:t>
            </w: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7C3DA0" w:rsidRPr="00BE3D68" w:rsidTr="007C3DA0">
        <w:trPr>
          <w:trHeight w:val="776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Прочие заложенные активы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31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Итого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</w:tr>
      <w:tr w:rsidR="007C3DA0" w:rsidRPr="00BE3D68" w:rsidTr="007C3DA0">
        <w:trPr>
          <w:trHeight w:val="601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Балансовая стоимость незаложенного имущества, которое может быть передано в залог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C3DA0" w:rsidRPr="00BE3D68" w:rsidRDefault="007C3DA0" w:rsidP="00B5348F">
            <w:pPr>
              <w:spacing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</w:tr>
    </w:tbl>
    <w:p w:rsidR="00955476" w:rsidRDefault="00955476" w:rsidP="00BE3D68">
      <w:pPr>
        <w:spacing w:line="340" w:lineRule="exact"/>
        <w:jc w:val="both"/>
        <w:rPr>
          <w:szCs w:val="22"/>
        </w:rPr>
        <w:sectPr w:rsidR="009554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3D68" w:rsidRPr="00F34402" w:rsidRDefault="00BE3D68" w:rsidP="005D2D8B">
      <w:pPr>
        <w:numPr>
          <w:ilvl w:val="0"/>
          <w:numId w:val="8"/>
        </w:numPr>
        <w:spacing w:line="340" w:lineRule="exact"/>
        <w:ind w:left="1134" w:hanging="425"/>
        <w:contextualSpacing/>
        <w:jc w:val="both"/>
        <w:rPr>
          <w:szCs w:val="22"/>
        </w:rPr>
      </w:pPr>
      <w:r w:rsidRPr="00F34402">
        <w:rPr>
          <w:szCs w:val="22"/>
        </w:rPr>
        <w:lastRenderedPageBreak/>
        <w:t>Информация о кредитных обязательствах региона на последнюю отчетную дату.</w:t>
      </w:r>
    </w:p>
    <w:tbl>
      <w:tblPr>
        <w:tblW w:w="12474" w:type="dxa"/>
        <w:tblInd w:w="675" w:type="dxa"/>
        <w:tblLook w:val="04A0" w:firstRow="1" w:lastRow="0" w:firstColumn="1" w:lastColumn="0" w:noHBand="0" w:noVBand="1"/>
      </w:tblPr>
      <w:tblGrid>
        <w:gridCol w:w="2425"/>
        <w:gridCol w:w="994"/>
        <w:gridCol w:w="1132"/>
        <w:gridCol w:w="3529"/>
        <w:gridCol w:w="925"/>
        <w:gridCol w:w="1838"/>
        <w:gridCol w:w="1631"/>
      </w:tblGrid>
      <w:tr w:rsidR="00F34402" w:rsidRPr="00F34402" w:rsidTr="00955476">
        <w:trPr>
          <w:trHeight w:val="5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Кредитор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Валюта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Сумма, тыс</w:t>
            </w:r>
            <w:r w:rsidR="00DF0615">
              <w:rPr>
                <w:rFonts w:eastAsia="Times New Roman"/>
                <w:lang w:eastAsia="ru-RU"/>
              </w:rPr>
              <w:t>.</w:t>
            </w:r>
            <w:r w:rsidRPr="00F34402">
              <w:rPr>
                <w:rFonts w:eastAsia="Times New Roman"/>
                <w:lang w:eastAsia="ru-RU"/>
              </w:rPr>
              <w:t xml:space="preserve"> руб.</w:t>
            </w:r>
          </w:p>
        </w:tc>
        <w:tc>
          <w:tcPr>
            <w:tcW w:w="3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Остаток задолженности (вкл. %), тыс</w:t>
            </w:r>
            <w:r w:rsidR="00DF0615">
              <w:rPr>
                <w:rFonts w:eastAsia="Times New Roman"/>
                <w:lang w:eastAsia="ru-RU"/>
              </w:rPr>
              <w:t>.</w:t>
            </w:r>
            <w:r w:rsidRPr="00F34402">
              <w:rPr>
                <w:rFonts w:eastAsia="Times New Roman"/>
                <w:lang w:eastAsia="ru-RU"/>
              </w:rPr>
              <w:t xml:space="preserve"> руб.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% ставка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Срок предоставления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Дата погашения</w:t>
            </w:r>
          </w:p>
        </w:tc>
      </w:tr>
      <w:tr w:rsidR="00F34402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BE3D68" w:rsidRPr="00F34402" w:rsidTr="00955476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rPr>
                <w:rFonts w:eastAsia="Times New Roman"/>
                <w:lang w:eastAsia="ru-RU"/>
              </w:rPr>
            </w:pPr>
            <w:r w:rsidRPr="00F34402">
              <w:rPr>
                <w:rFonts w:eastAsia="Times New Roman"/>
                <w:lang w:eastAsia="ru-RU"/>
              </w:rPr>
              <w:t>………..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F34402" w:rsidRDefault="00BE3D68" w:rsidP="00BE3D68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BE3D68" w:rsidRPr="00F34402" w:rsidRDefault="00BE3D68" w:rsidP="00BE3D68">
      <w:pPr>
        <w:spacing w:line="340" w:lineRule="exact"/>
        <w:jc w:val="both"/>
        <w:rPr>
          <w:szCs w:val="22"/>
        </w:rPr>
      </w:pPr>
    </w:p>
    <w:p w:rsidR="00BE3D68" w:rsidRPr="00F34402" w:rsidRDefault="00BE3D68" w:rsidP="005D2D8B">
      <w:pPr>
        <w:numPr>
          <w:ilvl w:val="0"/>
          <w:numId w:val="8"/>
        </w:numPr>
        <w:spacing w:line="340" w:lineRule="exact"/>
        <w:ind w:left="1134" w:hanging="425"/>
        <w:contextualSpacing/>
        <w:jc w:val="both"/>
        <w:rPr>
          <w:szCs w:val="22"/>
        </w:rPr>
      </w:pPr>
      <w:r w:rsidRPr="00F34402">
        <w:rPr>
          <w:szCs w:val="22"/>
        </w:rPr>
        <w:t>Информация о выданных гарантиях и поручительствах по займам юридическим лицам на последнюю отчетную дату.</w:t>
      </w:r>
    </w:p>
    <w:tbl>
      <w:tblPr>
        <w:tblW w:w="12498" w:type="dxa"/>
        <w:tblInd w:w="675" w:type="dxa"/>
        <w:tblLook w:val="04A0" w:firstRow="1" w:lastRow="0" w:firstColumn="1" w:lastColumn="0" w:noHBand="0" w:noVBand="1"/>
      </w:tblPr>
      <w:tblGrid>
        <w:gridCol w:w="3969"/>
        <w:gridCol w:w="2694"/>
        <w:gridCol w:w="2693"/>
        <w:gridCol w:w="1518"/>
        <w:gridCol w:w="1624"/>
      </w:tblGrid>
      <w:tr w:rsidR="00BE3D68" w:rsidRPr="00BE3D68" w:rsidTr="00955476">
        <w:trPr>
          <w:trHeight w:val="84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Контрагент, которому выдана гарантия / поручительство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Размер выданного поручительства / гарантии, тыс. рублей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Срок предоставления поручительства / гарантии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Исполнено гарантий, тыс. рублей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Комментарии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BE3D68" w:rsidRPr="00BE3D68" w:rsidTr="00955476">
        <w:trPr>
          <w:trHeight w:val="315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………….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:rsidR="00B908CB" w:rsidRDefault="00B908CB" w:rsidP="00B908CB">
      <w:pPr>
        <w:pStyle w:val="a4"/>
        <w:ind w:left="1069" w:firstLine="0"/>
      </w:pPr>
    </w:p>
    <w:p w:rsidR="00065804" w:rsidRDefault="00065804" w:rsidP="00065804"/>
    <w:p w:rsidR="00BE3D68" w:rsidRPr="00B908CB" w:rsidRDefault="00B908CB" w:rsidP="005D2D8B">
      <w:pPr>
        <w:pStyle w:val="a4"/>
        <w:numPr>
          <w:ilvl w:val="0"/>
          <w:numId w:val="8"/>
        </w:numPr>
        <w:ind w:left="1134" w:hanging="567"/>
      </w:pPr>
      <w:r>
        <w:lastRenderedPageBreak/>
        <w:t>Информация о прочих долговых обязательствах при их наличии.</w:t>
      </w:r>
    </w:p>
    <w:p w:rsidR="00BE3D68" w:rsidRPr="00BE3D68" w:rsidRDefault="00BE3D68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 w:rsidRPr="00BE3D68">
        <w:rPr>
          <w:szCs w:val="22"/>
        </w:rPr>
        <w:t>График погашения текущих обязательств</w:t>
      </w:r>
    </w:p>
    <w:tbl>
      <w:tblPr>
        <w:tblW w:w="1276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127"/>
        <w:gridCol w:w="987"/>
        <w:gridCol w:w="1139"/>
        <w:gridCol w:w="992"/>
        <w:gridCol w:w="1139"/>
        <w:gridCol w:w="993"/>
        <w:gridCol w:w="1134"/>
        <w:gridCol w:w="997"/>
        <w:gridCol w:w="1129"/>
        <w:gridCol w:w="992"/>
        <w:gridCol w:w="1135"/>
      </w:tblGrid>
      <w:tr w:rsidR="00BE3D68" w:rsidRPr="00BE3D68" w:rsidTr="00955476">
        <w:trPr>
          <w:trHeight w:val="2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Обязательства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1 кв. 2016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2 кв. 2016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3 кв. 2016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4 кв. 2016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1 кв. 2017</w:t>
            </w:r>
          </w:p>
        </w:tc>
      </w:tr>
      <w:tr w:rsidR="00BE3D68" w:rsidRPr="00BE3D68" w:rsidTr="00955476">
        <w:trPr>
          <w:trHeight w:val="31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68" w:rsidRPr="00BE3D68" w:rsidRDefault="00BE3D68" w:rsidP="00955476">
            <w:pPr>
              <w:spacing w:line="220" w:lineRule="exact"/>
              <w:ind w:firstLine="49"/>
              <w:rPr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Сумма, тыс. руб.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Сумма, тыс. руб.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Сумма, тыс. руб.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Сумма, тыс. руб.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Сумма, тыс. руб.</w:t>
            </w:r>
          </w:p>
        </w:tc>
      </w:tr>
      <w:tr w:rsidR="00BE3D68" w:rsidRPr="00BE3D68" w:rsidTr="00955476">
        <w:trPr>
          <w:trHeight w:val="59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Основ</w:t>
            </w:r>
            <w:r w:rsidR="00955476">
              <w:rPr>
                <w:bCs/>
                <w:sz w:val="22"/>
                <w:szCs w:val="22"/>
              </w:rPr>
              <w:t>-</w:t>
            </w:r>
            <w:r w:rsidRPr="00BE3D68">
              <w:rPr>
                <w:bCs/>
                <w:sz w:val="22"/>
                <w:szCs w:val="22"/>
              </w:rPr>
              <w:t>ная сумма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Выплаты по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Основ</w:t>
            </w:r>
            <w:r w:rsidR="00955476">
              <w:rPr>
                <w:bCs/>
                <w:sz w:val="22"/>
                <w:szCs w:val="22"/>
              </w:rPr>
              <w:t>-</w:t>
            </w:r>
            <w:r w:rsidRPr="00BE3D68">
              <w:rPr>
                <w:bCs/>
                <w:sz w:val="22"/>
                <w:szCs w:val="22"/>
              </w:rPr>
              <w:t>ная сумма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Выплаты по 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Основ</w:t>
            </w:r>
            <w:r w:rsidR="00955476">
              <w:rPr>
                <w:bCs/>
                <w:sz w:val="22"/>
                <w:szCs w:val="22"/>
              </w:rPr>
              <w:t>-</w:t>
            </w:r>
            <w:r w:rsidRPr="00BE3D68">
              <w:rPr>
                <w:bCs/>
                <w:sz w:val="22"/>
                <w:szCs w:val="22"/>
              </w:rPr>
              <w:t>ная сумма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Выплаты по %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Основная сумма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Выплаты по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Основная сумма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3D68" w:rsidRPr="00BE3D68" w:rsidRDefault="00BE3D68" w:rsidP="00955476">
            <w:pPr>
              <w:spacing w:line="220" w:lineRule="exact"/>
              <w:ind w:firstLine="49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Выплаты по %</w:t>
            </w:r>
          </w:p>
        </w:tc>
      </w:tr>
      <w:tr w:rsidR="00BE3D68" w:rsidRPr="00BE3D68" w:rsidTr="00955476">
        <w:trPr>
          <w:trHeight w:val="27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</w:tr>
      <w:tr w:rsidR="00BE3D68" w:rsidRPr="00BE3D68" w:rsidTr="00955476">
        <w:trPr>
          <w:trHeight w:val="2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в том числе: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</w:tr>
      <w:tr w:rsidR="00BE3D68" w:rsidRPr="00BE3D68" w:rsidTr="00955476">
        <w:trPr>
          <w:trHeight w:val="258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Кредиты и займы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</w:tr>
      <w:tr w:rsidR="00BE3D68" w:rsidRPr="00BE3D68" w:rsidTr="00955476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Облигации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</w:tr>
      <w:tr w:rsidR="00BE3D68" w:rsidRPr="00BE3D68" w:rsidTr="00955476">
        <w:trPr>
          <w:trHeight w:val="25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both"/>
              <w:rPr>
                <w:rFonts w:eastAsia="Times New Roman"/>
                <w:bCs/>
                <w:sz w:val="22"/>
                <w:szCs w:val="22"/>
              </w:rPr>
            </w:pPr>
            <w:r w:rsidRPr="00BE3D68">
              <w:rPr>
                <w:bCs/>
                <w:sz w:val="22"/>
                <w:szCs w:val="22"/>
              </w:rPr>
              <w:t>Прочее (описать)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3D68" w:rsidRPr="00BE3D68" w:rsidRDefault="00BE3D68" w:rsidP="00BE3D68">
            <w:pPr>
              <w:spacing w:line="220" w:lineRule="exact"/>
              <w:ind w:firstLine="49"/>
              <w:jc w:val="center"/>
              <w:rPr>
                <w:rFonts w:eastAsia="Times New Roman"/>
                <w:sz w:val="22"/>
                <w:szCs w:val="22"/>
              </w:rPr>
            </w:pPr>
            <w:r w:rsidRPr="00BE3D68">
              <w:rPr>
                <w:sz w:val="22"/>
                <w:szCs w:val="22"/>
              </w:rPr>
              <w:t> </w:t>
            </w:r>
          </w:p>
        </w:tc>
      </w:tr>
    </w:tbl>
    <w:p w:rsidR="00BE3D68" w:rsidRPr="00BE3D68" w:rsidRDefault="00BE3D68" w:rsidP="00BE3D68">
      <w:pPr>
        <w:spacing w:line="340" w:lineRule="exact"/>
        <w:jc w:val="both"/>
        <w:rPr>
          <w:szCs w:val="22"/>
        </w:rPr>
      </w:pPr>
    </w:p>
    <w:p w:rsidR="00BE3D68" w:rsidRPr="00BE3D68" w:rsidRDefault="00BE3D68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 w:rsidRPr="00BE3D68">
        <w:rPr>
          <w:szCs w:val="22"/>
        </w:rPr>
        <w:t>Информация по остаткам на текущих счетах</w:t>
      </w:r>
    </w:p>
    <w:tbl>
      <w:tblPr>
        <w:tblW w:w="11624" w:type="dxa"/>
        <w:tblInd w:w="675" w:type="dxa"/>
        <w:tblLook w:val="04A0" w:firstRow="1" w:lastRow="0" w:firstColumn="1" w:lastColumn="0" w:noHBand="0" w:noVBand="1"/>
      </w:tblPr>
      <w:tblGrid>
        <w:gridCol w:w="3119"/>
        <w:gridCol w:w="850"/>
        <w:gridCol w:w="851"/>
        <w:gridCol w:w="850"/>
        <w:gridCol w:w="709"/>
        <w:gridCol w:w="709"/>
        <w:gridCol w:w="709"/>
        <w:gridCol w:w="708"/>
        <w:gridCol w:w="1560"/>
        <w:gridCol w:w="1559"/>
      </w:tblGrid>
      <w:tr w:rsidR="00BE3D68" w:rsidRPr="00BE3D68" w:rsidTr="00955476">
        <w:trPr>
          <w:trHeight w:val="6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1 кв. 2015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2 кв.</w:t>
            </w:r>
          </w:p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3 кв. 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4 кв. 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1 кв. 2016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2 кв. 2016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3 кв. 2016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4 кв. 2016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1 кв. 2017 (прогноз)</w:t>
            </w:r>
          </w:p>
        </w:tc>
      </w:tr>
      <w:tr w:rsidR="00BE3D68" w:rsidRPr="00BE3D68" w:rsidTr="00955476">
        <w:trPr>
          <w:trHeight w:val="31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955476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 xml:space="preserve">Остатки средств на текущих счетах, млн. </w:t>
            </w:r>
            <w:r w:rsidR="00955476">
              <w:rPr>
                <w:rFonts w:eastAsia="Times New Roman"/>
                <w:color w:val="000000"/>
                <w:lang w:eastAsia="ru-RU"/>
              </w:rPr>
              <w:t>р</w:t>
            </w:r>
            <w:r w:rsidRPr="00BE3D68">
              <w:rPr>
                <w:rFonts w:eastAsia="Times New Roman"/>
                <w:color w:val="000000"/>
                <w:lang w:eastAsia="ru-RU"/>
              </w:rPr>
              <w:t>уб</w:t>
            </w:r>
            <w:r w:rsidR="00955476">
              <w:rPr>
                <w:rFonts w:eastAsia="Times New Roman"/>
                <w:color w:val="000000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3D68" w:rsidRPr="00BE3D68" w:rsidRDefault="00BE3D68" w:rsidP="00BE3D68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BE3D68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</w:tbl>
    <w:p w:rsidR="00955476" w:rsidRDefault="00955476" w:rsidP="00955476">
      <w:pPr>
        <w:spacing w:line="340" w:lineRule="exact"/>
        <w:ind w:left="1069"/>
        <w:contextualSpacing/>
        <w:jc w:val="both"/>
        <w:rPr>
          <w:szCs w:val="22"/>
        </w:rPr>
      </w:pPr>
    </w:p>
    <w:p w:rsid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 w:rsidRPr="00BE3D68">
        <w:rPr>
          <w:szCs w:val="22"/>
        </w:rPr>
        <w:t>Количество случаев несвоевременного исполнения финансовых обязательств региона из-за отсутствия / недостаточного объема средств на счетах по годам, 2015 и 1 пол. 2016 г.</w:t>
      </w:r>
    </w:p>
    <w:p w:rsid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 w:rsidRPr="00BE3D68">
        <w:rPr>
          <w:szCs w:val="22"/>
        </w:rPr>
        <w:t>Объем и структура просроченной кредиторской задолженности</w:t>
      </w:r>
      <w:r>
        <w:rPr>
          <w:szCs w:val="22"/>
        </w:rPr>
        <w:t xml:space="preserve"> субъекта РФ</w:t>
      </w:r>
      <w:r w:rsidRPr="00BE3D68">
        <w:rPr>
          <w:szCs w:val="22"/>
        </w:rPr>
        <w:t>, 2015</w:t>
      </w:r>
      <w:r>
        <w:rPr>
          <w:szCs w:val="22"/>
        </w:rPr>
        <w:t xml:space="preserve"> г.</w:t>
      </w:r>
    </w:p>
    <w:p w:rsid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>
        <w:rPr>
          <w:szCs w:val="22"/>
        </w:rPr>
        <w:t>Объем и структура просроченной кредиторской задолженности муниципальных бюджетов субъекта РФ и муниципальных учреждений субъекта РФ, 2015 г.</w:t>
      </w:r>
    </w:p>
    <w:p w:rsid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>
        <w:rPr>
          <w:szCs w:val="22"/>
        </w:rPr>
        <w:t>Объем и структура просроченной кредиторской задолженности столичного муниципального образования субъекта РФ.</w:t>
      </w:r>
    </w:p>
    <w:p w:rsid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>
        <w:rPr>
          <w:szCs w:val="22"/>
        </w:rPr>
        <w:t>Объем долга столичного муниципального образования по годам (2012 – 2015 гг.)</w:t>
      </w:r>
    </w:p>
    <w:p w:rsid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>
        <w:rPr>
          <w:szCs w:val="22"/>
        </w:rPr>
        <w:t>Структура долга столичного муниципального образования, 2015 г.</w:t>
      </w:r>
    </w:p>
    <w:p w:rsidR="00955476" w:rsidRPr="00955476" w:rsidRDefault="00955476" w:rsidP="005D2D8B">
      <w:pPr>
        <w:numPr>
          <w:ilvl w:val="0"/>
          <w:numId w:val="8"/>
        </w:numPr>
        <w:spacing w:line="340" w:lineRule="exact"/>
        <w:ind w:left="1134" w:hanging="567"/>
        <w:contextualSpacing/>
        <w:jc w:val="both"/>
        <w:rPr>
          <w:szCs w:val="22"/>
        </w:rPr>
      </w:pPr>
      <w:r w:rsidRPr="00955476">
        <w:rPr>
          <w:szCs w:val="22"/>
        </w:rPr>
        <w:t>Расходы на обслуживание долга столичного муниципального образования, 2015 г.</w:t>
      </w:r>
    </w:p>
    <w:p w:rsidR="00955476" w:rsidRDefault="00955476" w:rsidP="00BE3D68">
      <w:pPr>
        <w:spacing w:line="340" w:lineRule="exact"/>
        <w:jc w:val="both"/>
        <w:rPr>
          <w:szCs w:val="22"/>
        </w:rPr>
        <w:sectPr w:rsidR="00955476" w:rsidSect="0095547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A33ED" w:rsidRDefault="0029330C" w:rsidP="00E5601B">
      <w:pPr>
        <w:pStyle w:val="a4"/>
        <w:ind w:left="567" w:firstLine="0"/>
        <w:rPr>
          <w:rFonts w:cs="Times New Roman"/>
          <w:b/>
        </w:rPr>
      </w:pPr>
      <w:r>
        <w:rPr>
          <w:rFonts w:cs="Times New Roman"/>
          <w:b/>
        </w:rPr>
        <w:lastRenderedPageBreak/>
        <w:t xml:space="preserve">Раздел </w:t>
      </w:r>
      <w:r w:rsidR="00BE3D68" w:rsidRPr="00BE3D68">
        <w:rPr>
          <w:rFonts w:cs="Times New Roman"/>
          <w:b/>
        </w:rPr>
        <w:t>4</w:t>
      </w:r>
      <w:r>
        <w:rPr>
          <w:rFonts w:cs="Times New Roman"/>
          <w:b/>
        </w:rPr>
        <w:t xml:space="preserve">. </w:t>
      </w:r>
      <w:r w:rsidR="007B1D52">
        <w:rPr>
          <w:rFonts w:cs="Times New Roman"/>
          <w:b/>
        </w:rPr>
        <w:t>Данные о</w:t>
      </w:r>
      <w:r>
        <w:rPr>
          <w:rFonts w:cs="Times New Roman"/>
          <w:b/>
        </w:rPr>
        <w:t>б управлении</w:t>
      </w:r>
      <w:r w:rsidR="007B1D52">
        <w:rPr>
          <w:rFonts w:cs="Times New Roman"/>
          <w:b/>
        </w:rPr>
        <w:t xml:space="preserve"> государственн</w:t>
      </w:r>
      <w:r>
        <w:rPr>
          <w:rFonts w:cs="Times New Roman"/>
          <w:b/>
        </w:rPr>
        <w:t>ы</w:t>
      </w:r>
      <w:r w:rsidR="007B1D52">
        <w:rPr>
          <w:rFonts w:cs="Times New Roman"/>
          <w:b/>
        </w:rPr>
        <w:t>м имуществ</w:t>
      </w:r>
      <w:r>
        <w:rPr>
          <w:rFonts w:cs="Times New Roman"/>
          <w:b/>
        </w:rPr>
        <w:t>ом</w:t>
      </w:r>
      <w:r w:rsidR="007B1D52">
        <w:rPr>
          <w:rFonts w:cs="Times New Roman"/>
          <w:b/>
        </w:rPr>
        <w:t xml:space="preserve"> субъекта </w:t>
      </w:r>
      <w:r w:rsidR="00065804">
        <w:rPr>
          <w:rFonts w:cs="Times New Roman"/>
          <w:b/>
        </w:rPr>
        <w:t>РФ</w:t>
      </w:r>
    </w:p>
    <w:p w:rsidR="00CA33ED" w:rsidRPr="007B1D52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B1D52">
        <w:rPr>
          <w:szCs w:val="22"/>
        </w:rPr>
        <w:t>Реестр государственного имущества субъекта федерации</w:t>
      </w:r>
      <w:r>
        <w:rPr>
          <w:szCs w:val="22"/>
        </w:rPr>
        <w:t xml:space="preserve"> (в</w:t>
      </w:r>
      <w:r w:rsidRPr="007B1D52">
        <w:rPr>
          <w:szCs w:val="22"/>
        </w:rPr>
        <w:t>се редакции документа за 2012-2015 гг., либо актуальный документ с перечнем внесенных изменений за 2012-2015 годы</w:t>
      </w:r>
      <w:r>
        <w:rPr>
          <w:szCs w:val="22"/>
        </w:rPr>
        <w:t>)</w:t>
      </w:r>
      <w:r w:rsidR="00FD250B">
        <w:rPr>
          <w:szCs w:val="22"/>
        </w:rPr>
        <w:t>.</w:t>
      </w:r>
    </w:p>
    <w:p w:rsidR="00C75259" w:rsidRPr="007B1D52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7B1D52">
        <w:rPr>
          <w:szCs w:val="22"/>
        </w:rPr>
        <w:t>Перечень имущества субъекта федерации, свободного от прав третьих лиц</w:t>
      </w:r>
      <w:r>
        <w:rPr>
          <w:szCs w:val="22"/>
        </w:rPr>
        <w:t xml:space="preserve"> (в</w:t>
      </w:r>
      <w:r w:rsidRPr="007B1D52">
        <w:rPr>
          <w:szCs w:val="22"/>
        </w:rPr>
        <w:t>се редакции документа за 2012-2015 гг., либо актуальный документ с перечнем внесенных изменений за 2012-2015 годы</w:t>
      </w:r>
      <w:r>
        <w:rPr>
          <w:szCs w:val="22"/>
        </w:rPr>
        <w:t>)</w:t>
      </w:r>
      <w:r w:rsidR="00FD250B">
        <w:rPr>
          <w:szCs w:val="22"/>
        </w:rPr>
        <w:t>.</w:t>
      </w:r>
    </w:p>
    <w:p w:rsidR="00C75259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Перечень предприятий с участием субъекта федерации, в отношении которых начата процедура банкротства, либо не ведущих хозяйственную деятельность (актуальный)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 xml:space="preserve">Отчеты (докладные, аналитические записки, доклады и иные виды информационно-аналитических материалов) о результатах мониторинга эффективности использования государственного имущества унитарными и предприятиями и учреждениями, которым оно передано на праве хозяйственного ведения, оперативного управления, в безвозмездное пользование </w:t>
      </w:r>
      <w:r w:rsidRPr="002E4F3A">
        <w:t>за 2012-2015 гг. (при наличии)</w:t>
      </w:r>
      <w:r w:rsidR="00FD250B">
        <w:t>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Отчеты (докладные, аналитические записки, доклады и иные виды информационно-аналитических материалов) о результатах мониторинга управления недвижимым имуществом в собственности субъекта федерации</w:t>
      </w:r>
      <w:r w:rsidRPr="002E4F3A">
        <w:t xml:space="preserve"> за 2012-2015 гг. (при наличии)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Отчеты об аудиторской проверке государственных унитарных предприятий</w:t>
      </w:r>
      <w:r w:rsidRPr="002E4F3A">
        <w:t xml:space="preserve"> за 2012-2015 гг.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Перечень аудиторов, проводивших аудит государственных унитарных предприятий</w:t>
      </w:r>
      <w:r w:rsidRPr="002E4F3A">
        <w:t xml:space="preserve"> за 2012-2015 гг.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Годовая бухгалтерская отчетность хозяйственных обществ, доли в уставном или акционерном капитале которых находятся в собственности субъекта федерации</w:t>
      </w:r>
      <w:r w:rsidRPr="002E4F3A">
        <w:t xml:space="preserve"> за 2012-2015 гг.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Годовая консолидированная финансовая отчетность хозяйственных обществ, доли в уставном или акционерном капитале которых находятся в собственности субъекта федерации</w:t>
      </w:r>
      <w:r w:rsidRPr="002E4F3A">
        <w:t xml:space="preserve"> за 2012-2015 гг. (при наличии)</w:t>
      </w:r>
      <w:r w:rsidR="00FD250B">
        <w:t>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Годовые отчеты публичных акционерных обществ, доли в акционерном капитале которых находятся в собственности субъекта федерации</w:t>
      </w:r>
      <w:r w:rsidRPr="002E4F3A">
        <w:t xml:space="preserve"> за 2012-2015 гг.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Перечень дочерних и зависимых обществ компаний, более 50% акционерного или уставного капитала находится в собственности субъекта федерации, с указанием  доли владения этих компаний в дочерних и зависимых обществах (актуальный)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Прогнозные планы (программы) приватизации государственного имущества</w:t>
      </w:r>
      <w:r w:rsidRPr="002E4F3A">
        <w:t xml:space="preserve"> за 2012-2015 гг.</w:t>
      </w:r>
    </w:p>
    <w:p w:rsidR="007B1D52" w:rsidRPr="002E4F3A" w:rsidRDefault="007B1D52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Отчеты (докладные, аналитические записки, доклады и иные виды информационно-аналитических материалов) о выполнении прогнозных планов (программ) приватизации государственного имущества</w:t>
      </w:r>
      <w:r w:rsidRPr="002E4F3A">
        <w:t xml:space="preserve"> за 2012-2015 гг.</w:t>
      </w:r>
    </w:p>
    <w:p w:rsidR="007B1D52" w:rsidRPr="006A6D9B" w:rsidRDefault="0029330C" w:rsidP="005D2D8B">
      <w:pPr>
        <w:numPr>
          <w:ilvl w:val="0"/>
          <w:numId w:val="11"/>
        </w:numPr>
        <w:spacing w:line="340" w:lineRule="exact"/>
        <w:ind w:left="567" w:hanging="567"/>
        <w:contextualSpacing/>
        <w:jc w:val="both"/>
        <w:rPr>
          <w:szCs w:val="22"/>
        </w:rPr>
      </w:pPr>
      <w:r w:rsidRPr="002E4F3A">
        <w:rPr>
          <w:szCs w:val="22"/>
        </w:rPr>
        <w:t>Директивы представителям субъекта федерации в хозяйствующих обществах, доля в уставном или акционерном капитале которых находится в собственности субъекта федерации</w:t>
      </w:r>
      <w:r w:rsidRPr="002E4F3A">
        <w:t xml:space="preserve"> за 2012-2015 гг.</w:t>
      </w:r>
    </w:p>
    <w:p w:rsidR="006A6D9B" w:rsidRDefault="006A6D9B" w:rsidP="006A6D9B">
      <w:pPr>
        <w:pStyle w:val="a4"/>
        <w:numPr>
          <w:ilvl w:val="0"/>
          <w:numId w:val="11"/>
        </w:numPr>
        <w:ind w:left="567" w:hanging="567"/>
      </w:pPr>
      <w:r>
        <w:lastRenderedPageBreak/>
        <w:t>Объем незавершенного строительства капитального строительства, финансируемого за счет бюджетных инвестиций и субсидий на осуществление капитальных вложений в объекты государственной собственности субъекта Российской Федерации на конец года, % 2012 – 2015.</w:t>
      </w:r>
    </w:p>
    <w:p w:rsidR="006A6D9B" w:rsidRDefault="006A6D9B" w:rsidP="006A6D9B">
      <w:pPr>
        <w:pStyle w:val="a4"/>
        <w:numPr>
          <w:ilvl w:val="0"/>
          <w:numId w:val="11"/>
        </w:numPr>
        <w:ind w:left="567" w:hanging="567"/>
      </w:pPr>
      <w:r>
        <w:t>Перечни объектов, строящихся и реконструируемых за счет за счет бюджетных инвестиций и субсидий на осуществление капитальных вложений в объекты государственной собственности субъекта Российской Федерации, с указанием запланированных в соответствии с государственными программами и иными нормативно-правовыми актами субъекта Российской Федерации и фактических сроков сдачи.</w:t>
      </w:r>
    </w:p>
    <w:p w:rsidR="006A6D9B" w:rsidRDefault="006A6D9B" w:rsidP="006A6D9B">
      <w:pPr>
        <w:pStyle w:val="a4"/>
        <w:numPr>
          <w:ilvl w:val="0"/>
          <w:numId w:val="11"/>
        </w:numPr>
        <w:ind w:left="567" w:hanging="567"/>
      </w:pPr>
      <w:r>
        <w:t>Данные об освоении государственными заказчиками бюджетных ассигнований на финансирование мероприятий адресной инвестиционной программы субъекта Российской Федерации, в том числе наименование государственного заказчика, объем перечисленных заказчику из бюджета средств, объем освоенных заказчиком средств, процент освоения средств на конец года, 2012 – 2015.</w:t>
      </w:r>
    </w:p>
    <w:p w:rsidR="006A6D9B" w:rsidRPr="006A6D9B" w:rsidRDefault="006A6D9B" w:rsidP="006A6D9B">
      <w:pPr>
        <w:pStyle w:val="a4"/>
        <w:ind w:left="567" w:firstLine="0"/>
      </w:pPr>
    </w:p>
    <w:p w:rsidR="00C75259" w:rsidRDefault="00C75259" w:rsidP="000F4733">
      <w:pPr>
        <w:pStyle w:val="a4"/>
        <w:ind w:left="1069" w:firstLine="0"/>
        <w:rPr>
          <w:rFonts w:cs="Times New Roman"/>
          <w:b/>
        </w:rPr>
      </w:pPr>
    </w:p>
    <w:p w:rsidR="004A1840" w:rsidRDefault="0029330C" w:rsidP="00E5601B">
      <w:pPr>
        <w:pStyle w:val="a4"/>
        <w:ind w:left="567" w:firstLine="0"/>
        <w:rPr>
          <w:rFonts w:cs="Times New Roman"/>
          <w:b/>
        </w:rPr>
      </w:pPr>
      <w:r>
        <w:rPr>
          <w:rFonts w:cs="Times New Roman"/>
          <w:b/>
        </w:rPr>
        <w:t xml:space="preserve">Раздел </w:t>
      </w:r>
      <w:r w:rsidR="00BE3D68" w:rsidRPr="00F34402">
        <w:rPr>
          <w:rFonts w:cs="Times New Roman"/>
          <w:b/>
        </w:rPr>
        <w:t>5</w:t>
      </w:r>
      <w:r>
        <w:rPr>
          <w:rFonts w:cs="Times New Roman"/>
          <w:b/>
        </w:rPr>
        <w:t xml:space="preserve">. </w:t>
      </w:r>
      <w:r w:rsidR="004A1840">
        <w:rPr>
          <w:rFonts w:cs="Times New Roman"/>
          <w:b/>
        </w:rPr>
        <w:t>Данные о ГУП и МУП</w:t>
      </w:r>
      <w:r w:rsidR="00C75259">
        <w:rPr>
          <w:rFonts w:cs="Times New Roman"/>
          <w:b/>
        </w:rPr>
        <w:t xml:space="preserve">, находящихся в собственности субъекта </w:t>
      </w:r>
      <w:r w:rsidR="00065804">
        <w:rPr>
          <w:rFonts w:cs="Times New Roman"/>
          <w:b/>
        </w:rPr>
        <w:t>РФ</w:t>
      </w:r>
      <w:r w:rsidR="00C75259">
        <w:rPr>
          <w:rFonts w:cs="Times New Roman"/>
          <w:b/>
        </w:rPr>
        <w:t xml:space="preserve"> либо муниципальных образований, расположенных на его территории</w:t>
      </w:r>
    </w:p>
    <w:p w:rsidR="007A7160" w:rsidRPr="007A7160" w:rsidRDefault="007A7160" w:rsidP="005D2D8B">
      <w:pPr>
        <w:numPr>
          <w:ilvl w:val="0"/>
          <w:numId w:val="12"/>
        </w:numPr>
        <w:spacing w:line="340" w:lineRule="exact"/>
        <w:ind w:left="567" w:hanging="425"/>
        <w:contextualSpacing/>
        <w:jc w:val="both"/>
        <w:rPr>
          <w:szCs w:val="22"/>
        </w:rPr>
      </w:pPr>
      <w:r w:rsidRPr="007A7160">
        <w:rPr>
          <w:szCs w:val="22"/>
        </w:rPr>
        <w:t>Информация о региональных ГУП и МУП, действующих на территории субъекта РФ</w:t>
      </w:r>
      <w:r w:rsidR="00F34402">
        <w:rPr>
          <w:szCs w:val="22"/>
        </w:rPr>
        <w:t>, 2015</w:t>
      </w:r>
      <w:r w:rsidR="00065804">
        <w:rPr>
          <w:szCs w:val="22"/>
        </w:rPr>
        <w:t xml:space="preserve"> г.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276"/>
        <w:gridCol w:w="1200"/>
        <w:gridCol w:w="1276"/>
        <w:gridCol w:w="850"/>
        <w:gridCol w:w="1352"/>
        <w:gridCol w:w="1701"/>
      </w:tblGrid>
      <w:tr w:rsidR="007A7160" w:rsidRPr="007A7160" w:rsidTr="0043121F">
        <w:trPr>
          <w:trHeight w:val="731"/>
        </w:trPr>
        <w:tc>
          <w:tcPr>
            <w:tcW w:w="1559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Название предприятия</w:t>
            </w:r>
          </w:p>
        </w:tc>
        <w:tc>
          <w:tcPr>
            <w:tcW w:w="1276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Собствен</w:t>
            </w:r>
            <w:r w:rsidR="00065804">
              <w:rPr>
                <w:rFonts w:eastAsia="Times New Roman"/>
                <w:color w:val="000000"/>
                <w:lang w:eastAsia="ru-RU"/>
              </w:rPr>
              <w:t>-</w:t>
            </w:r>
            <w:r w:rsidRPr="007A7160">
              <w:rPr>
                <w:rFonts w:eastAsia="Times New Roman"/>
                <w:color w:val="000000"/>
                <w:lang w:eastAsia="ru-RU"/>
              </w:rPr>
              <w:t>ный капитал</w:t>
            </w:r>
          </w:p>
        </w:tc>
        <w:tc>
          <w:tcPr>
            <w:tcW w:w="1200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Валовая выручка</w:t>
            </w:r>
          </w:p>
        </w:tc>
        <w:tc>
          <w:tcPr>
            <w:tcW w:w="1276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Пассивы</w:t>
            </w:r>
          </w:p>
        </w:tc>
        <w:tc>
          <w:tcPr>
            <w:tcW w:w="850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Долг</w:t>
            </w:r>
          </w:p>
        </w:tc>
        <w:tc>
          <w:tcPr>
            <w:tcW w:w="1352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Кредитор</w:t>
            </w:r>
            <w:r w:rsidR="00065804">
              <w:rPr>
                <w:rFonts w:eastAsia="Times New Roman"/>
                <w:color w:val="000000"/>
                <w:lang w:eastAsia="ru-RU"/>
              </w:rPr>
              <w:t>-</w:t>
            </w:r>
            <w:r w:rsidRPr="007A7160">
              <w:rPr>
                <w:rFonts w:eastAsia="Times New Roman"/>
                <w:color w:val="000000"/>
                <w:lang w:eastAsia="ru-RU"/>
              </w:rPr>
              <w:t>ская задолжен</w:t>
            </w:r>
            <w:r w:rsidR="00065804">
              <w:rPr>
                <w:rFonts w:eastAsia="Times New Roman"/>
                <w:color w:val="000000"/>
                <w:lang w:eastAsia="ru-RU"/>
              </w:rPr>
              <w:t>-</w:t>
            </w:r>
            <w:r w:rsidRPr="007A7160">
              <w:rPr>
                <w:rFonts w:eastAsia="Times New Roman"/>
                <w:color w:val="000000"/>
                <w:lang w:eastAsia="ru-RU"/>
              </w:rPr>
              <w:t>ность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в. т.ч. просроченная кредиторская задолжен</w:t>
            </w:r>
            <w:r w:rsidR="0043121F">
              <w:rPr>
                <w:rFonts w:eastAsia="Times New Roman"/>
                <w:color w:val="000000"/>
                <w:lang w:eastAsia="ru-RU"/>
              </w:rPr>
              <w:t>-</w:t>
            </w:r>
            <w:r w:rsidRPr="007A7160">
              <w:rPr>
                <w:rFonts w:eastAsia="Times New Roman"/>
                <w:color w:val="000000"/>
                <w:lang w:eastAsia="ru-RU"/>
              </w:rPr>
              <w:t>ность</w:t>
            </w:r>
          </w:p>
        </w:tc>
      </w:tr>
      <w:tr w:rsidR="007A7160" w:rsidRPr="007A7160" w:rsidTr="0043121F">
        <w:trPr>
          <w:trHeight w:val="315"/>
        </w:trPr>
        <w:tc>
          <w:tcPr>
            <w:tcW w:w="1559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1.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A7160" w:rsidRPr="007A7160" w:rsidTr="0043121F">
        <w:trPr>
          <w:trHeight w:val="315"/>
        </w:trPr>
        <w:tc>
          <w:tcPr>
            <w:tcW w:w="1559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2.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A7160" w:rsidRPr="007A7160" w:rsidTr="0043121F">
        <w:trPr>
          <w:trHeight w:val="315"/>
        </w:trPr>
        <w:tc>
          <w:tcPr>
            <w:tcW w:w="1559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3.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52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A7160" w:rsidRPr="007A7160" w:rsidTr="0043121F">
        <w:trPr>
          <w:trHeight w:val="315"/>
        </w:trPr>
        <w:tc>
          <w:tcPr>
            <w:tcW w:w="1559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eastAsia="ru-RU"/>
              </w:rPr>
            </w:pPr>
            <w:r w:rsidRPr="007A7160">
              <w:rPr>
                <w:rFonts w:eastAsia="Times New Roman"/>
                <w:color w:val="000000"/>
                <w:lang w:eastAsia="ru-RU"/>
              </w:rPr>
              <w:t>…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7A7160" w:rsidRPr="007A7160" w:rsidTr="0043121F">
        <w:trPr>
          <w:trHeight w:val="315"/>
        </w:trPr>
        <w:tc>
          <w:tcPr>
            <w:tcW w:w="1559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rPr>
                <w:rFonts w:eastAsia="Times New Roman"/>
                <w:color w:val="000000"/>
                <w:lang w:val="en-US" w:eastAsia="ru-RU"/>
              </w:rPr>
            </w:pPr>
            <w:r w:rsidRPr="007A7160">
              <w:rPr>
                <w:rFonts w:eastAsia="Times New Roman"/>
                <w:color w:val="000000"/>
                <w:lang w:val="en-US" w:eastAsia="ru-RU"/>
              </w:rPr>
              <w:t>n.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00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352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7A7160" w:rsidRPr="007A7160" w:rsidRDefault="007A7160" w:rsidP="007A7160">
            <w:pPr>
              <w:spacing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7A7160" w:rsidRPr="007A7160" w:rsidRDefault="007A7160" w:rsidP="007A7160">
      <w:pPr>
        <w:spacing w:line="340" w:lineRule="exact"/>
        <w:ind w:firstLine="709"/>
        <w:jc w:val="both"/>
        <w:rPr>
          <w:szCs w:val="22"/>
        </w:rPr>
      </w:pPr>
    </w:p>
    <w:p w:rsidR="007A7160" w:rsidRPr="002E4F3A" w:rsidRDefault="007A7160" w:rsidP="005D2D8B">
      <w:pPr>
        <w:pStyle w:val="a4"/>
        <w:numPr>
          <w:ilvl w:val="0"/>
          <w:numId w:val="12"/>
        </w:numPr>
        <w:ind w:left="567" w:hanging="425"/>
        <w:rPr>
          <w:rFonts w:cs="Times New Roman"/>
        </w:rPr>
      </w:pPr>
      <w:r w:rsidRPr="00C75259">
        <w:rPr>
          <w:rFonts w:cs="Times New Roman"/>
        </w:rPr>
        <w:t xml:space="preserve">Годовая </w:t>
      </w:r>
      <w:r w:rsidRPr="002E4F3A">
        <w:rPr>
          <w:rFonts w:cs="Times New Roman"/>
        </w:rPr>
        <w:t>бухгалтерская отчетность государственных и муниципальных унитарных предприятий за 2012-2015 гг.</w:t>
      </w:r>
    </w:p>
    <w:p w:rsidR="00C75259" w:rsidRPr="002E4F3A" w:rsidRDefault="00C75259" w:rsidP="005D2D8B">
      <w:pPr>
        <w:pStyle w:val="a4"/>
        <w:numPr>
          <w:ilvl w:val="0"/>
          <w:numId w:val="12"/>
        </w:numPr>
        <w:ind w:left="567" w:hanging="425"/>
        <w:rPr>
          <w:rFonts w:cs="Times New Roman"/>
        </w:rPr>
      </w:pPr>
      <w:r w:rsidRPr="00C75259">
        <w:rPr>
          <w:rFonts w:cs="Times New Roman"/>
        </w:rPr>
        <w:t xml:space="preserve">Годовая консолидированная </w:t>
      </w:r>
      <w:r w:rsidRPr="002E4F3A">
        <w:rPr>
          <w:rFonts w:cs="Times New Roman"/>
        </w:rPr>
        <w:t>финансовая отчетность государственных и муниципальных унитарных предприятий за 2012-2015 гг. (при наличии)</w:t>
      </w:r>
      <w:r w:rsidR="00065804">
        <w:rPr>
          <w:rFonts w:cs="Times New Roman"/>
        </w:rPr>
        <w:t>.</w:t>
      </w:r>
    </w:p>
    <w:p w:rsidR="004A1840" w:rsidRPr="002E4F3A" w:rsidRDefault="007A7160" w:rsidP="005D2D8B">
      <w:pPr>
        <w:pStyle w:val="a4"/>
        <w:numPr>
          <w:ilvl w:val="0"/>
          <w:numId w:val="12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Данные о размере задолженности по заработной плате перед работниками государственных унитарных предприятий, муниципальных унитарных предприятий, предприятий, более 50% акционерного или уставного капитала находится в собственности субъекта федерации за 2012-2015 гг. (по состоянию на конец года)</w:t>
      </w:r>
      <w:r w:rsidR="00065804">
        <w:rPr>
          <w:rFonts w:cs="Times New Roman"/>
        </w:rPr>
        <w:t>.</w:t>
      </w:r>
    </w:p>
    <w:p w:rsidR="004A1840" w:rsidRPr="002E4F3A" w:rsidRDefault="007A7160" w:rsidP="005D2D8B">
      <w:pPr>
        <w:pStyle w:val="a4"/>
        <w:numPr>
          <w:ilvl w:val="0"/>
          <w:numId w:val="12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 xml:space="preserve">Данные о численности  работников государственных унитарных предприятий, муниципальных унитарных предприятий, </w:t>
      </w:r>
      <w:r w:rsidR="00C75259" w:rsidRPr="002E4F3A">
        <w:rPr>
          <w:rFonts w:cs="Times New Roman"/>
        </w:rPr>
        <w:t xml:space="preserve">а также </w:t>
      </w:r>
      <w:r w:rsidRPr="002E4F3A">
        <w:rPr>
          <w:rFonts w:cs="Times New Roman"/>
        </w:rPr>
        <w:t xml:space="preserve">предприятий, более 50% </w:t>
      </w:r>
      <w:r w:rsidRPr="002E4F3A">
        <w:rPr>
          <w:rFonts w:cs="Times New Roman"/>
        </w:rPr>
        <w:lastRenderedPageBreak/>
        <w:t>акционерного или уставного капитала находится в собственности субъекта федерации за 2012-2015 гг. (по состоянию на конец года)</w:t>
      </w:r>
      <w:r w:rsidR="00065804">
        <w:rPr>
          <w:rFonts w:cs="Times New Roman"/>
        </w:rPr>
        <w:t>.</w:t>
      </w:r>
    </w:p>
    <w:p w:rsidR="007A7160" w:rsidRPr="002E4F3A" w:rsidRDefault="007A7160" w:rsidP="005D2D8B">
      <w:pPr>
        <w:pStyle w:val="a4"/>
        <w:numPr>
          <w:ilvl w:val="0"/>
          <w:numId w:val="12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Отчеты (докладные, аналитические записки, доклады и иные виды информационно-аналитических материалов) о результатах мониторинга эффективности государственных и муниципальных унитарных предприятий за 2012-2015 годы (при наличии)</w:t>
      </w:r>
      <w:r w:rsidR="00065804">
        <w:rPr>
          <w:rFonts w:cs="Times New Roman"/>
        </w:rPr>
        <w:t>.</w:t>
      </w:r>
    </w:p>
    <w:p w:rsidR="007A7160" w:rsidRPr="002E4F3A" w:rsidRDefault="007A7160" w:rsidP="005D2D8B">
      <w:pPr>
        <w:pStyle w:val="a4"/>
        <w:numPr>
          <w:ilvl w:val="0"/>
          <w:numId w:val="12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Перечень ГУП и МУП в собственности субъекта федерации или муниципальных образований, расположенных на его территории, в отношении которых начата процедура банкротства, а также ГУП и МУП, не ведущих в настоящее время хозяйственную деятельность (актуальный)</w:t>
      </w:r>
      <w:r w:rsidR="00065804">
        <w:rPr>
          <w:rFonts w:cs="Times New Roman"/>
        </w:rPr>
        <w:t>.</w:t>
      </w:r>
    </w:p>
    <w:p w:rsidR="00065804" w:rsidRPr="00865F3B" w:rsidRDefault="007B1D52" w:rsidP="005D2D8B">
      <w:pPr>
        <w:pStyle w:val="a4"/>
        <w:numPr>
          <w:ilvl w:val="0"/>
          <w:numId w:val="12"/>
        </w:numPr>
        <w:ind w:left="567" w:hanging="425"/>
        <w:rPr>
          <w:b/>
        </w:rPr>
      </w:pPr>
      <w:r w:rsidRPr="002E4F3A">
        <w:rPr>
          <w:rFonts w:cs="Times New Roman"/>
        </w:rPr>
        <w:t>Утвержденные методики (или иные методические документы) оценки эффективности использования государственного имущества, переданного унитарным предприятиям, учреждениям за 2012-2015 годы (при наличии)</w:t>
      </w:r>
      <w:r w:rsidR="00065804">
        <w:rPr>
          <w:rFonts w:cs="Times New Roman"/>
        </w:rPr>
        <w:t>.</w:t>
      </w:r>
      <w:r w:rsidR="00065804" w:rsidRPr="00865F3B">
        <w:rPr>
          <w:rFonts w:cs="Times New Roman"/>
          <w:b/>
        </w:rPr>
        <w:br w:type="page"/>
      </w:r>
    </w:p>
    <w:p w:rsidR="0029330C" w:rsidRPr="002E4F3A" w:rsidRDefault="0029330C" w:rsidP="00E5601B">
      <w:pPr>
        <w:pStyle w:val="a4"/>
        <w:ind w:left="567" w:firstLine="0"/>
        <w:rPr>
          <w:rFonts w:cs="Times New Roman"/>
          <w:b/>
        </w:rPr>
      </w:pPr>
      <w:r w:rsidRPr="002E4F3A">
        <w:rPr>
          <w:rFonts w:cs="Times New Roman"/>
          <w:b/>
        </w:rPr>
        <w:lastRenderedPageBreak/>
        <w:t xml:space="preserve">Раздел </w:t>
      </w:r>
      <w:r w:rsidR="00BE3D68" w:rsidRPr="002E4F3A">
        <w:rPr>
          <w:rFonts w:cs="Times New Roman"/>
          <w:b/>
        </w:rPr>
        <w:t>6</w:t>
      </w:r>
      <w:r w:rsidRPr="002E4F3A">
        <w:rPr>
          <w:rFonts w:cs="Times New Roman"/>
          <w:b/>
        </w:rPr>
        <w:t xml:space="preserve">. Данные о реализации экономической политики в субъекте </w:t>
      </w:r>
      <w:r w:rsidR="006B5717">
        <w:rPr>
          <w:rFonts w:cs="Times New Roman"/>
          <w:b/>
        </w:rPr>
        <w:t>РФ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 xml:space="preserve">Отчетность о реализации мероприятий региональных целевых и государственных  программ субъекта </w:t>
      </w:r>
      <w:r w:rsidR="005D2D8B">
        <w:rPr>
          <w:rFonts w:cs="Times New Roman"/>
        </w:rPr>
        <w:t>РФ</w:t>
      </w:r>
      <w:r w:rsidRPr="002E4F3A">
        <w:rPr>
          <w:rFonts w:cs="Times New Roman"/>
        </w:rPr>
        <w:t xml:space="preserve">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 xml:space="preserve">Отчетность о реализации адресной инвестиционной программы субъекта </w:t>
      </w:r>
      <w:r w:rsidR="005D2D8B">
        <w:rPr>
          <w:rFonts w:cs="Times New Roman"/>
        </w:rPr>
        <w:t>РФ</w:t>
      </w:r>
      <w:r w:rsidRPr="002E4F3A">
        <w:rPr>
          <w:rFonts w:cs="Times New Roman"/>
        </w:rPr>
        <w:t xml:space="preserve">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Отчетность о реализации федеральных целевых программ на территории субъекта федерации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 xml:space="preserve">Отчетность о реализации федеральной адресной инвестиционной программы  на территории субъекта </w:t>
      </w:r>
      <w:r w:rsidR="005D2D8B">
        <w:rPr>
          <w:rFonts w:cs="Times New Roman"/>
        </w:rPr>
        <w:t>РФ</w:t>
      </w:r>
      <w:r w:rsidRPr="002E4F3A">
        <w:rPr>
          <w:rFonts w:cs="Times New Roman"/>
        </w:rPr>
        <w:t xml:space="preserve">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 xml:space="preserve">Утвержденные программы социально-экономического развития муниципальных образований, распложенных в субъекте </w:t>
      </w:r>
      <w:r w:rsidR="005D2D8B">
        <w:rPr>
          <w:rFonts w:cs="Times New Roman"/>
        </w:rPr>
        <w:t>РФ</w:t>
      </w:r>
      <w:r w:rsidRPr="002E4F3A">
        <w:rPr>
          <w:rFonts w:cs="Times New Roman"/>
        </w:rPr>
        <w:t xml:space="preserve">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Годовая бухгалтерская отчетность предприятий-субъектов государственного регулирования цен (тарифов), чья деятельность является предметом регулирования со стороны ОИВ субъекта федерации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Годовая консолидированная финансовая отчетность предприятий-субъектов государственного регулирования цен (тарифов), чья деятельность является предметом регулирования со стороны ОИВ субъекта федерации за 2012-2015 гг.</w:t>
      </w:r>
    </w:p>
    <w:p w:rsidR="0029330C" w:rsidRPr="002E4F3A" w:rsidRDefault="0029330C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Постановления уполномоченного органа ОИВ об установлении тарифов на услуги предприятий-субъектов государственного регулировани</w:t>
      </w:r>
      <w:r w:rsidR="005D2D8B">
        <w:rPr>
          <w:rFonts w:cs="Times New Roman"/>
        </w:rPr>
        <w:t>я цен (тарифов) за 2012-2015</w:t>
      </w:r>
    </w:p>
    <w:p w:rsidR="00F34402" w:rsidRPr="002E4F3A" w:rsidRDefault="00F34402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 w:rsidRPr="002E4F3A">
        <w:rPr>
          <w:rFonts w:cs="Times New Roman"/>
        </w:rPr>
        <w:t>Перечень</w:t>
      </w:r>
      <w:r w:rsidR="00BE3D68" w:rsidRPr="002E4F3A">
        <w:rPr>
          <w:rFonts w:cs="Times New Roman"/>
        </w:rPr>
        <w:t xml:space="preserve"> действующих на территории региона ОЭЗ регионального уровня</w:t>
      </w:r>
      <w:r w:rsidRPr="002E4F3A">
        <w:rPr>
          <w:rFonts w:cs="Times New Roman"/>
        </w:rPr>
        <w:t xml:space="preserve"> (при наличии)</w:t>
      </w:r>
      <w:r w:rsidR="00BE3D68" w:rsidRPr="002E4F3A">
        <w:rPr>
          <w:rFonts w:cs="Times New Roman"/>
        </w:rPr>
        <w:t xml:space="preserve"> и перечень ключевых резидентов.</w:t>
      </w:r>
      <w:r w:rsidRPr="002E4F3A">
        <w:rPr>
          <w:rFonts w:cs="Times New Roman"/>
        </w:rPr>
        <w:t xml:space="preserve"> </w:t>
      </w:r>
    </w:p>
    <w:p w:rsidR="00F34402" w:rsidRDefault="00F34402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>
        <w:rPr>
          <w:rFonts w:cs="Times New Roman"/>
        </w:rPr>
        <w:t>Список резидентов ОЭЗ федерального уровня (при ее наличии) на 2016 г.</w:t>
      </w:r>
    </w:p>
    <w:p w:rsidR="00BE3D68" w:rsidRDefault="00F34402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>
        <w:rPr>
          <w:rFonts w:cs="Times New Roman"/>
        </w:rPr>
        <w:t>Объем вложенных в ОЭЗ федерального уровня частных и государственных инвестиций по годам</w:t>
      </w:r>
      <w:r w:rsidR="005D2D8B">
        <w:rPr>
          <w:rFonts w:cs="Times New Roman"/>
        </w:rPr>
        <w:t xml:space="preserve"> </w:t>
      </w:r>
      <w:r w:rsidR="005D2D8B" w:rsidRPr="002E4F3A">
        <w:rPr>
          <w:rFonts w:cs="Times New Roman"/>
        </w:rPr>
        <w:t>за 2012-2015 гг.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0"/>
        <w:gridCol w:w="1415"/>
        <w:gridCol w:w="1230"/>
        <w:gridCol w:w="1230"/>
        <w:gridCol w:w="1230"/>
        <w:gridCol w:w="1299"/>
      </w:tblGrid>
      <w:tr w:rsidR="00F34402" w:rsidRPr="00523CC1" w:rsidTr="00E5601B">
        <w:trPr>
          <w:trHeight w:val="315"/>
        </w:trPr>
        <w:tc>
          <w:tcPr>
            <w:tcW w:w="2810" w:type="dxa"/>
            <w:shd w:val="clear" w:color="auto" w:fill="auto"/>
            <w:vAlign w:val="bottom"/>
            <w:hideMark/>
          </w:tcPr>
          <w:p w:rsidR="00F34402" w:rsidRPr="00523CC1" w:rsidRDefault="00F34402" w:rsidP="0083403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1415" w:type="dxa"/>
            <w:shd w:val="clear" w:color="auto" w:fill="auto"/>
            <w:vAlign w:val="bottom"/>
            <w:hideMark/>
          </w:tcPr>
          <w:p w:rsidR="00F34402" w:rsidRPr="00523CC1" w:rsidRDefault="00F34402" w:rsidP="00E5601B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2012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F34402" w:rsidRPr="00523CC1" w:rsidRDefault="00F34402" w:rsidP="00E5601B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F34402" w:rsidRPr="00523CC1" w:rsidRDefault="00F34402" w:rsidP="00E5601B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2014</w:t>
            </w:r>
          </w:p>
        </w:tc>
        <w:tc>
          <w:tcPr>
            <w:tcW w:w="1230" w:type="dxa"/>
            <w:shd w:val="clear" w:color="auto" w:fill="auto"/>
            <w:vAlign w:val="bottom"/>
            <w:hideMark/>
          </w:tcPr>
          <w:p w:rsidR="00F34402" w:rsidRPr="00523CC1" w:rsidRDefault="00F34402" w:rsidP="00E5601B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2015</w:t>
            </w:r>
          </w:p>
        </w:tc>
        <w:tc>
          <w:tcPr>
            <w:tcW w:w="1299" w:type="dxa"/>
            <w:shd w:val="clear" w:color="auto" w:fill="auto"/>
            <w:vAlign w:val="bottom"/>
            <w:hideMark/>
          </w:tcPr>
          <w:p w:rsidR="00F34402" w:rsidRPr="00523CC1" w:rsidRDefault="00F34402" w:rsidP="00E5601B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1 пол. 2016</w:t>
            </w:r>
          </w:p>
        </w:tc>
      </w:tr>
      <w:tr w:rsidR="00F34402" w:rsidRPr="00537FC9" w:rsidTr="006B5717">
        <w:trPr>
          <w:trHeight w:val="315"/>
        </w:trPr>
        <w:tc>
          <w:tcPr>
            <w:tcW w:w="281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Объем государственных инвестиций, млн рублей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F34402" w:rsidRPr="00537FC9" w:rsidTr="006B5717">
        <w:trPr>
          <w:trHeight w:val="315"/>
        </w:trPr>
        <w:tc>
          <w:tcPr>
            <w:tcW w:w="281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Объем частных инвестиций, млн рублей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30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299" w:type="dxa"/>
            <w:shd w:val="clear" w:color="auto" w:fill="auto"/>
            <w:vAlign w:val="bottom"/>
          </w:tcPr>
          <w:p w:rsidR="00F34402" w:rsidRPr="00537FC9" w:rsidRDefault="00F34402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5D2D8B" w:rsidRDefault="005D2D8B" w:rsidP="005D2D8B">
      <w:pPr>
        <w:pStyle w:val="a4"/>
        <w:ind w:left="567" w:firstLine="0"/>
        <w:rPr>
          <w:rFonts w:cs="Times New Roman"/>
        </w:rPr>
        <w:sectPr w:rsidR="005D2D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3D68" w:rsidRDefault="00BE3D68" w:rsidP="005D2D8B">
      <w:pPr>
        <w:pStyle w:val="a4"/>
        <w:numPr>
          <w:ilvl w:val="0"/>
          <w:numId w:val="13"/>
        </w:numPr>
        <w:ind w:left="567" w:hanging="425"/>
        <w:rPr>
          <w:rFonts w:cs="Times New Roman"/>
        </w:rPr>
      </w:pPr>
      <w:r>
        <w:rPr>
          <w:rFonts w:cs="Times New Roman"/>
        </w:rPr>
        <w:lastRenderedPageBreak/>
        <w:t xml:space="preserve">Данные по действующему в регионе </w:t>
      </w:r>
      <w:r w:rsidRPr="004572EE">
        <w:rPr>
          <w:rFonts w:cs="Times New Roman"/>
          <w:b/>
        </w:rPr>
        <w:t>гарантийному фонду</w:t>
      </w:r>
      <w:r>
        <w:rPr>
          <w:rFonts w:cs="Times New Roman"/>
        </w:rPr>
        <w:t xml:space="preserve"> по годам:</w:t>
      </w:r>
    </w:p>
    <w:tbl>
      <w:tblPr>
        <w:tblW w:w="144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65"/>
        <w:gridCol w:w="696"/>
        <w:gridCol w:w="808"/>
        <w:gridCol w:w="851"/>
        <w:gridCol w:w="975"/>
        <w:gridCol w:w="708"/>
        <w:gridCol w:w="709"/>
        <w:gridCol w:w="709"/>
        <w:gridCol w:w="708"/>
        <w:gridCol w:w="852"/>
        <w:gridCol w:w="992"/>
        <w:gridCol w:w="852"/>
        <w:gridCol w:w="852"/>
        <w:gridCol w:w="852"/>
        <w:gridCol w:w="846"/>
        <w:gridCol w:w="6"/>
      </w:tblGrid>
      <w:tr w:rsidR="005D2D8B" w:rsidRPr="00537FC9" w:rsidTr="005D2D8B">
        <w:trPr>
          <w:gridAfter w:val="1"/>
          <w:wAfter w:w="6" w:type="dxa"/>
          <w:trHeight w:val="279"/>
        </w:trPr>
        <w:tc>
          <w:tcPr>
            <w:tcW w:w="2268" w:type="dxa"/>
            <w:vMerge w:val="restart"/>
            <w:shd w:val="clear" w:color="auto" w:fill="auto"/>
            <w:hideMark/>
          </w:tcPr>
          <w:p w:rsidR="005D2D8B" w:rsidRPr="00523CC1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Название гарантийного фонда</w:t>
            </w:r>
          </w:p>
        </w:tc>
        <w:tc>
          <w:tcPr>
            <w:tcW w:w="4095" w:type="dxa"/>
            <w:gridSpan w:val="5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 xml:space="preserve">Объем, </w:t>
            </w:r>
            <w:r w:rsidRPr="006B5717">
              <w:rPr>
                <w:rFonts w:eastAsia="Times New Roman"/>
                <w:b/>
                <w:lang w:eastAsia="ru-RU"/>
              </w:rPr>
              <w:t>выданных</w:t>
            </w:r>
            <w:r w:rsidRPr="00537FC9">
              <w:rPr>
                <w:rFonts w:eastAsia="Times New Roman"/>
                <w:lang w:eastAsia="ru-RU"/>
              </w:rPr>
              <w:t xml:space="preserve"> гарантий </w:t>
            </w:r>
          </w:p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и поручительств</w:t>
            </w:r>
          </w:p>
        </w:tc>
        <w:tc>
          <w:tcPr>
            <w:tcW w:w="3686" w:type="dxa"/>
            <w:gridSpan w:val="5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Количество компаний-получателей</w:t>
            </w:r>
          </w:p>
        </w:tc>
        <w:tc>
          <w:tcPr>
            <w:tcW w:w="4394" w:type="dxa"/>
            <w:gridSpan w:val="5"/>
          </w:tcPr>
          <w:p w:rsidR="005D2D8B" w:rsidRPr="005D2D8B" w:rsidRDefault="005D2D8B" w:rsidP="005D2D8B">
            <w:pPr>
              <w:spacing w:line="240" w:lineRule="auto"/>
              <w:jc w:val="center"/>
              <w:rPr>
                <w:b/>
              </w:rPr>
            </w:pPr>
            <w:r>
              <w:rPr>
                <w:rFonts w:eastAsia="Times New Roman"/>
                <w:lang w:eastAsia="ru-RU"/>
              </w:rPr>
              <w:t xml:space="preserve">Объем </w:t>
            </w:r>
            <w:r w:rsidRPr="005D2D8B">
              <w:rPr>
                <w:rFonts w:eastAsia="Times New Roman"/>
                <w:b/>
                <w:lang w:eastAsia="ru-RU"/>
              </w:rPr>
              <w:t>исполненных</w:t>
            </w:r>
            <w:r>
              <w:rPr>
                <w:rFonts w:eastAsia="Times New Roman"/>
                <w:lang w:eastAsia="ru-RU"/>
              </w:rPr>
              <w:t xml:space="preserve"> фондом </w:t>
            </w:r>
            <w:r w:rsidRPr="00537FC9">
              <w:rPr>
                <w:rFonts w:eastAsia="Times New Roman"/>
                <w:lang w:eastAsia="ru-RU"/>
              </w:rPr>
              <w:t>гарантий и поручительств</w:t>
            </w:r>
          </w:p>
        </w:tc>
      </w:tr>
      <w:tr w:rsidR="005D2D8B" w:rsidRPr="00537FC9" w:rsidTr="005D2D8B">
        <w:trPr>
          <w:trHeight w:val="315"/>
        </w:trPr>
        <w:tc>
          <w:tcPr>
            <w:tcW w:w="2268" w:type="dxa"/>
            <w:vMerge/>
            <w:shd w:val="clear" w:color="auto" w:fill="auto"/>
            <w:vAlign w:val="bottom"/>
            <w:hideMark/>
          </w:tcPr>
          <w:p w:rsidR="005D2D8B" w:rsidRPr="00523CC1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vAlign w:val="bottom"/>
            <w:hideMark/>
          </w:tcPr>
          <w:p w:rsidR="005D2D8B" w:rsidRPr="00523CC1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2012</w:t>
            </w:r>
          </w:p>
        </w:tc>
        <w:tc>
          <w:tcPr>
            <w:tcW w:w="696" w:type="dxa"/>
            <w:shd w:val="clear" w:color="auto" w:fill="auto"/>
            <w:vAlign w:val="bottom"/>
            <w:hideMark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808" w:type="dxa"/>
            <w:shd w:val="clear" w:color="auto" w:fill="auto"/>
            <w:vAlign w:val="bottom"/>
            <w:hideMark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2014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2015</w:t>
            </w:r>
          </w:p>
        </w:tc>
        <w:tc>
          <w:tcPr>
            <w:tcW w:w="975" w:type="dxa"/>
            <w:shd w:val="clear" w:color="auto" w:fill="auto"/>
            <w:vAlign w:val="bottom"/>
            <w:hideMark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1 пол. 2016</w:t>
            </w:r>
          </w:p>
        </w:tc>
        <w:tc>
          <w:tcPr>
            <w:tcW w:w="708" w:type="dxa"/>
            <w:vAlign w:val="bottom"/>
          </w:tcPr>
          <w:p w:rsidR="005D2D8B" w:rsidRPr="00523CC1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2012</w:t>
            </w:r>
          </w:p>
        </w:tc>
        <w:tc>
          <w:tcPr>
            <w:tcW w:w="709" w:type="dxa"/>
            <w:vAlign w:val="bottom"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709" w:type="dxa"/>
            <w:vAlign w:val="bottom"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2014</w:t>
            </w:r>
          </w:p>
        </w:tc>
        <w:tc>
          <w:tcPr>
            <w:tcW w:w="708" w:type="dxa"/>
            <w:vAlign w:val="bottom"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2015</w:t>
            </w:r>
          </w:p>
        </w:tc>
        <w:tc>
          <w:tcPr>
            <w:tcW w:w="852" w:type="dxa"/>
            <w:vAlign w:val="bottom"/>
          </w:tcPr>
          <w:p w:rsidR="005D2D8B" w:rsidRPr="00523CC1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1 пол. 2016</w:t>
            </w:r>
          </w:p>
        </w:tc>
        <w:tc>
          <w:tcPr>
            <w:tcW w:w="992" w:type="dxa"/>
            <w:vAlign w:val="bottom"/>
          </w:tcPr>
          <w:p w:rsidR="005D2D8B" w:rsidRPr="00537FC9" w:rsidRDefault="005D2D8B" w:rsidP="005D2D8B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2012</w:t>
            </w:r>
          </w:p>
        </w:tc>
        <w:tc>
          <w:tcPr>
            <w:tcW w:w="852" w:type="dxa"/>
            <w:vAlign w:val="bottom"/>
          </w:tcPr>
          <w:p w:rsidR="005D2D8B" w:rsidRPr="00523CC1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2013</w:t>
            </w:r>
          </w:p>
        </w:tc>
        <w:tc>
          <w:tcPr>
            <w:tcW w:w="852" w:type="dxa"/>
            <w:vAlign w:val="bottom"/>
          </w:tcPr>
          <w:p w:rsidR="005D2D8B" w:rsidRPr="00523CC1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2014</w:t>
            </w:r>
          </w:p>
        </w:tc>
        <w:tc>
          <w:tcPr>
            <w:tcW w:w="852" w:type="dxa"/>
            <w:vAlign w:val="bottom"/>
          </w:tcPr>
          <w:p w:rsidR="005D2D8B" w:rsidRPr="00523CC1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2015</w:t>
            </w:r>
          </w:p>
        </w:tc>
        <w:tc>
          <w:tcPr>
            <w:tcW w:w="852" w:type="dxa"/>
            <w:gridSpan w:val="2"/>
            <w:vAlign w:val="bottom"/>
          </w:tcPr>
          <w:p w:rsidR="005D2D8B" w:rsidRPr="00523CC1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  <w:r w:rsidRPr="00537FC9">
              <w:rPr>
                <w:rFonts w:eastAsia="Times New Roman"/>
                <w:lang w:eastAsia="ru-RU"/>
              </w:rPr>
              <w:t>1 пол. 2016</w:t>
            </w:r>
          </w:p>
        </w:tc>
      </w:tr>
      <w:tr w:rsidR="005D2D8B" w:rsidRPr="00537FC9" w:rsidTr="005D2D8B">
        <w:trPr>
          <w:trHeight w:val="315"/>
        </w:trPr>
        <w:tc>
          <w:tcPr>
            <w:tcW w:w="226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0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5D2D8B" w:rsidRPr="00537FC9" w:rsidTr="005D2D8B">
        <w:trPr>
          <w:trHeight w:val="315"/>
        </w:trPr>
        <w:tc>
          <w:tcPr>
            <w:tcW w:w="226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0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5D2D8B" w:rsidRPr="00537FC9" w:rsidTr="005D2D8B">
        <w:trPr>
          <w:trHeight w:val="315"/>
        </w:trPr>
        <w:tc>
          <w:tcPr>
            <w:tcW w:w="226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</w:p>
        </w:tc>
        <w:tc>
          <w:tcPr>
            <w:tcW w:w="76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0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  <w:tr w:rsidR="005D2D8B" w:rsidRPr="00537FC9" w:rsidTr="005D2D8B">
        <w:trPr>
          <w:trHeight w:val="315"/>
        </w:trPr>
        <w:tc>
          <w:tcPr>
            <w:tcW w:w="226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…………</w:t>
            </w:r>
          </w:p>
        </w:tc>
        <w:tc>
          <w:tcPr>
            <w:tcW w:w="76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696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08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9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708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2" w:type="dxa"/>
          </w:tcPr>
          <w:p w:rsidR="005D2D8B" w:rsidRPr="00537FC9" w:rsidRDefault="005D2D8B" w:rsidP="00834035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852" w:type="dxa"/>
            <w:gridSpan w:val="2"/>
          </w:tcPr>
          <w:p w:rsidR="005D2D8B" w:rsidRPr="00537FC9" w:rsidRDefault="005D2D8B" w:rsidP="00223D02">
            <w:pPr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</w:tr>
    </w:tbl>
    <w:p w:rsidR="005D2D8B" w:rsidRPr="00537FC9" w:rsidRDefault="005D2D8B" w:rsidP="005D2D8B">
      <w:pPr>
        <w:spacing w:line="240" w:lineRule="auto"/>
        <w:jc w:val="center"/>
        <w:rPr>
          <w:rFonts w:eastAsia="Times New Roman"/>
          <w:lang w:eastAsia="ru-RU"/>
        </w:rPr>
      </w:pPr>
    </w:p>
    <w:p w:rsidR="005D2D8B" w:rsidRDefault="005D2D8B" w:rsidP="000F4733">
      <w:pPr>
        <w:pStyle w:val="a4"/>
        <w:ind w:left="1069" w:firstLine="0"/>
        <w:rPr>
          <w:rFonts w:cs="Times New Roman"/>
          <w:b/>
        </w:rPr>
      </w:pPr>
    </w:p>
    <w:p w:rsidR="005D2D8B" w:rsidRDefault="005D2D8B">
      <w:pPr>
        <w:rPr>
          <w:b/>
          <w:szCs w:val="22"/>
        </w:rPr>
        <w:sectPr w:rsidR="005D2D8B" w:rsidSect="005D2D8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D2D8B" w:rsidRDefault="005D2D8B">
      <w:pPr>
        <w:rPr>
          <w:b/>
          <w:szCs w:val="22"/>
        </w:rPr>
      </w:pPr>
    </w:p>
    <w:p w:rsidR="000F4733" w:rsidRPr="004A1840" w:rsidRDefault="0029330C" w:rsidP="00E5601B">
      <w:pPr>
        <w:pStyle w:val="a4"/>
        <w:tabs>
          <w:tab w:val="left" w:pos="709"/>
        </w:tabs>
        <w:ind w:left="709" w:firstLine="0"/>
        <w:rPr>
          <w:rFonts w:cs="Times New Roman"/>
          <w:b/>
        </w:rPr>
      </w:pPr>
      <w:r>
        <w:rPr>
          <w:rFonts w:cs="Times New Roman"/>
          <w:b/>
        </w:rPr>
        <w:t xml:space="preserve">Раздел </w:t>
      </w:r>
      <w:r w:rsidR="00BE3D68" w:rsidRPr="00F34402">
        <w:rPr>
          <w:rFonts w:cs="Times New Roman"/>
          <w:b/>
        </w:rPr>
        <w:t>7</w:t>
      </w:r>
      <w:r>
        <w:rPr>
          <w:rFonts w:cs="Times New Roman"/>
          <w:b/>
        </w:rPr>
        <w:t xml:space="preserve">. </w:t>
      </w:r>
      <w:r w:rsidR="000F4733" w:rsidRPr="004A1840">
        <w:rPr>
          <w:rFonts w:cs="Times New Roman"/>
          <w:b/>
        </w:rPr>
        <w:t>Данные о социально</w:t>
      </w:r>
      <w:r>
        <w:rPr>
          <w:rFonts w:cs="Times New Roman"/>
          <w:b/>
        </w:rPr>
        <w:t>м</w:t>
      </w:r>
      <w:r w:rsidR="000F4733" w:rsidRPr="004A1840">
        <w:rPr>
          <w:rFonts w:cs="Times New Roman"/>
          <w:b/>
        </w:rPr>
        <w:t xml:space="preserve"> сектор</w:t>
      </w:r>
      <w:r>
        <w:rPr>
          <w:rFonts w:cs="Times New Roman"/>
          <w:b/>
        </w:rPr>
        <w:t xml:space="preserve">е субъекта </w:t>
      </w:r>
      <w:r w:rsidR="006B5717">
        <w:rPr>
          <w:rFonts w:cs="Times New Roman"/>
          <w:b/>
        </w:rPr>
        <w:t>РФ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>
        <w:rPr>
          <w:rFonts w:cs="Times New Roman"/>
        </w:rPr>
        <w:t xml:space="preserve">Фактическая стоимость </w:t>
      </w:r>
      <w:r w:rsidRPr="00F34402">
        <w:rPr>
          <w:rFonts w:cs="Times New Roman"/>
        </w:rPr>
        <w:t>койко-дня в стационарах (за счет бюджетных ассигнований бюджета субъекта РФ) за 2012 – 2015 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Численность обучающихся в общеобразовательных организациях (подведомственных субъекту РФ и муниципальным образованиям) за 2012 – 2015 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Численность воспитанников ДОО (подведомственных субъекту РФ и муниципальным образованиям) за 2012 – 2015 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Число посещений музеев (подведомственных субъекту РФ и муниципальным образованиям) за 2012 – 2015 гг.</w:t>
      </w:r>
    </w:p>
    <w:p w:rsidR="004A1840" w:rsidRPr="00F34402" w:rsidRDefault="004A1840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Данные ведомственной статистики о количестве маршрутов общественного транспорта в субъекте федерации за 2012-2015 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Число больничных коек (в медучреждениях, подведомственных субъекту РФ и муниципальным образованиям) за 2012 – 2015 гг.</w:t>
      </w:r>
    </w:p>
    <w:p w:rsidR="004A1840" w:rsidRPr="00F34402" w:rsidRDefault="004A1840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Статистические данные о задолженности физических и юридических лиц перед предприятиями ЖКХ, находящимися в собственности субъекта федерации или муниципальных образований, расположенных на его территории  за 2012-2015 гг. по состоянию на конец года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Годовая бухгалтерская отчетность предприятий общественного транспорта, находящихся в собственности субъекта федерации или муниципальных образований, расположенных на его территории</w:t>
      </w:r>
      <w:r w:rsidR="004A1840" w:rsidRPr="00F34402">
        <w:rPr>
          <w:rFonts w:cs="Times New Roman"/>
        </w:rPr>
        <w:t xml:space="preserve"> за</w:t>
      </w:r>
      <w:r w:rsidRPr="00F34402">
        <w:rPr>
          <w:rFonts w:cs="Times New Roman"/>
        </w:rPr>
        <w:t xml:space="preserve"> 2012-2015</w:t>
      </w:r>
      <w:r w:rsidR="004A1840" w:rsidRPr="00F34402">
        <w:rPr>
          <w:rFonts w:cs="Times New Roman"/>
        </w:rPr>
        <w:t xml:space="preserve"> 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 xml:space="preserve">Консолидированная финансовая отчетность предприятий общественного транспорта, находящихся в собственности субъекта федерации или муниципальных образований, расположенных на его территории </w:t>
      </w:r>
      <w:r w:rsidR="004A1840" w:rsidRPr="00F34402">
        <w:rPr>
          <w:rFonts w:cs="Times New Roman"/>
        </w:rPr>
        <w:t xml:space="preserve"> за </w:t>
      </w:r>
      <w:r w:rsidRPr="00F34402">
        <w:rPr>
          <w:rFonts w:cs="Times New Roman"/>
        </w:rPr>
        <w:t xml:space="preserve">2012-2015 </w:t>
      </w:r>
      <w:r w:rsidR="004A1840" w:rsidRPr="00F34402">
        <w:rPr>
          <w:rFonts w:cs="Times New Roman"/>
        </w:rPr>
        <w:t>гг. (п</w:t>
      </w:r>
      <w:r w:rsidRPr="00F34402">
        <w:rPr>
          <w:rFonts w:cs="Times New Roman"/>
        </w:rPr>
        <w:t>ри наличии</w:t>
      </w:r>
      <w:r w:rsidR="004A1840" w:rsidRPr="00F34402">
        <w:rPr>
          <w:rFonts w:cs="Times New Roman"/>
        </w:rPr>
        <w:t>)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Годовая бухгалтерская отчетность предприятий жилищно-коммунального хозяйства, находящихся в собственности субъекта федерации или муниципальных образований, расположенных на его территории 2012-2015</w:t>
      </w:r>
      <w:r w:rsidR="004A1840" w:rsidRPr="00F34402">
        <w:rPr>
          <w:rFonts w:cs="Times New Roman"/>
        </w:rPr>
        <w:t xml:space="preserve"> 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Годовая бухгалтерская отчетность предприятий водохозяйственного комплекса, находящихся в собственности субъекта федерации или муниципальных образований, расположенных на его территории за 2012-2015</w:t>
      </w:r>
      <w:r w:rsidR="00C75259" w:rsidRPr="00F34402">
        <w:rPr>
          <w:rFonts w:cs="Times New Roman"/>
        </w:rPr>
        <w:t xml:space="preserve"> гг.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 xml:space="preserve">Консолидированная финансовая отчетность предприятий водохозяйственного комплекса, находящихся в собственности субъекта федерации или муниципальных образований, расположенных на его территории  за 2012-2015 </w:t>
      </w:r>
      <w:r w:rsidR="004A1840" w:rsidRPr="00F34402">
        <w:rPr>
          <w:rFonts w:cs="Times New Roman"/>
        </w:rPr>
        <w:t xml:space="preserve">гг. </w:t>
      </w:r>
      <w:r w:rsidRPr="00F34402">
        <w:rPr>
          <w:rFonts w:cs="Times New Roman"/>
        </w:rPr>
        <w:t>(при наличии)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Отчеты (докладные, аналитические записки, доклады и иные виды информационно-аналитических материалов) о результатах мониторинга эффективности деятельности предприятий общественного транспорта, получающих субсидии из бюджета субъекта федерации или бюджетов муниципальных образований за 2012-2015</w:t>
      </w:r>
      <w:r w:rsidR="004A1840" w:rsidRPr="00F34402">
        <w:rPr>
          <w:rFonts w:cs="Times New Roman"/>
        </w:rPr>
        <w:t xml:space="preserve"> гг. </w:t>
      </w:r>
      <w:r w:rsidRPr="00F34402">
        <w:rPr>
          <w:rFonts w:cs="Times New Roman"/>
        </w:rPr>
        <w:t>(при наличии)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 xml:space="preserve">Отчеты (докладные, аналитические записки, доклады и иные виды информационно-аналитических материалов) о результатах мониторинга эффективности деятельности предприятий жилищно-коммунального хозяйства, </w:t>
      </w:r>
      <w:r w:rsidRPr="00F34402">
        <w:rPr>
          <w:rFonts w:cs="Times New Roman"/>
        </w:rPr>
        <w:lastRenderedPageBreak/>
        <w:t>находящихся в собственности субъекта федерации или муниципальных образований, расположенных на его территории, либо получающих субсидии из бюджета субъекта федерации или бюджетов муниципальных образований</w:t>
      </w:r>
      <w:r w:rsidR="004A1840" w:rsidRPr="00F34402">
        <w:rPr>
          <w:rFonts w:cs="Times New Roman"/>
        </w:rPr>
        <w:t xml:space="preserve"> за 2012-2015 гг. (при наличии)</w:t>
      </w:r>
    </w:p>
    <w:p w:rsidR="000F4733" w:rsidRPr="00F34402" w:rsidRDefault="000F4733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Отчеты (докладные, аналитические записки, доклады и иные виды информационно-аналитических материалов) о результатах мониторинга эффективности деятельности предприятий водохозяйственного комплекса, находящихся в собственности субъекта федерации или муниципальных образований, расположенных на его территории, либо получающих субсидии из бюджета субъекта федерации или бюджетов муниципальных образований</w:t>
      </w:r>
      <w:r w:rsidR="004A1840" w:rsidRPr="00F34402">
        <w:rPr>
          <w:rFonts w:cs="Times New Roman"/>
        </w:rPr>
        <w:t xml:space="preserve"> за 2012-2015 гг. (при наличии)</w:t>
      </w:r>
    </w:p>
    <w:p w:rsidR="00C75259" w:rsidRPr="00F34402" w:rsidRDefault="00C75259" w:rsidP="00E5601B">
      <w:pPr>
        <w:pStyle w:val="a4"/>
        <w:numPr>
          <w:ilvl w:val="0"/>
          <w:numId w:val="14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Перечень предприятий жилищно-коммунального хозяйства, общественного транспорта, водохозяйственного комплекса, находящихся в собственности субъекта федерации или муниципальных образований, расположенных на его территории, в отношении которых начата процедура банкротства (актуальный)</w:t>
      </w:r>
    </w:p>
    <w:p w:rsidR="00C75259" w:rsidRPr="00F34402" w:rsidRDefault="00C75259" w:rsidP="00C75259">
      <w:pPr>
        <w:pStyle w:val="a4"/>
        <w:ind w:left="1069" w:firstLine="0"/>
        <w:rPr>
          <w:rFonts w:cs="Times New Roman"/>
        </w:rPr>
      </w:pPr>
    </w:p>
    <w:p w:rsidR="0029330C" w:rsidRPr="00F34402" w:rsidRDefault="0029330C" w:rsidP="00E5601B">
      <w:pPr>
        <w:pStyle w:val="a4"/>
        <w:ind w:left="709" w:firstLine="0"/>
        <w:rPr>
          <w:rFonts w:cs="Times New Roman"/>
          <w:b/>
        </w:rPr>
      </w:pPr>
      <w:r w:rsidRPr="00F34402">
        <w:rPr>
          <w:rFonts w:cs="Times New Roman"/>
          <w:b/>
        </w:rPr>
        <w:t xml:space="preserve">Раздел </w:t>
      </w:r>
      <w:r w:rsidR="00BE3D68" w:rsidRPr="00F34402">
        <w:rPr>
          <w:rFonts w:cs="Times New Roman"/>
          <w:b/>
        </w:rPr>
        <w:t>8</w:t>
      </w:r>
      <w:r w:rsidRPr="00F34402">
        <w:rPr>
          <w:rFonts w:cs="Times New Roman"/>
          <w:b/>
        </w:rPr>
        <w:t>. Данные о результатах мониторинга закупочной деятельности государственных и муниципальных заказчиков субъекта федерации</w:t>
      </w:r>
    </w:p>
    <w:p w:rsidR="0029330C" w:rsidRPr="00F34402" w:rsidRDefault="0029330C" w:rsidP="00E5601B">
      <w:pPr>
        <w:pStyle w:val="a4"/>
        <w:numPr>
          <w:ilvl w:val="1"/>
          <w:numId w:val="20"/>
        </w:numPr>
        <w:ind w:left="709" w:hanging="567"/>
        <w:rPr>
          <w:rFonts w:cs="Times New Roman"/>
        </w:rPr>
      </w:pPr>
      <w:r w:rsidRPr="00F34402">
        <w:rPr>
          <w:rFonts w:cs="Times New Roman"/>
        </w:rPr>
        <w:t>Отчеты о проведении мониторинга результатов закупочной деятельности государственных и муниципальных заказчиков в субъекте федерации за 2012-2015 гг. (при наличии)</w:t>
      </w:r>
    </w:p>
    <w:p w:rsidR="0029330C" w:rsidRPr="00F34402" w:rsidRDefault="0029330C" w:rsidP="0029330C">
      <w:pPr>
        <w:pStyle w:val="a4"/>
        <w:ind w:left="1069" w:firstLine="0"/>
        <w:rPr>
          <w:rFonts w:cs="Times New Roman"/>
        </w:rPr>
      </w:pPr>
    </w:p>
    <w:p w:rsidR="000F4733" w:rsidRPr="00F34402" w:rsidRDefault="0029330C" w:rsidP="00E5601B">
      <w:pPr>
        <w:pStyle w:val="a4"/>
        <w:ind w:left="709" w:firstLine="0"/>
        <w:rPr>
          <w:rFonts w:cs="Times New Roman"/>
          <w:b/>
        </w:rPr>
      </w:pPr>
      <w:r w:rsidRPr="00F34402">
        <w:rPr>
          <w:rFonts w:cs="Times New Roman"/>
          <w:b/>
        </w:rPr>
        <w:t xml:space="preserve">Раздел </w:t>
      </w:r>
      <w:r w:rsidR="00BE3D68" w:rsidRPr="00F34402">
        <w:rPr>
          <w:rFonts w:cs="Times New Roman"/>
          <w:b/>
        </w:rPr>
        <w:t>9</w:t>
      </w:r>
      <w:r w:rsidRPr="00F34402">
        <w:rPr>
          <w:rFonts w:cs="Times New Roman"/>
          <w:b/>
        </w:rPr>
        <w:t>. Данные о государственных служащих, замещающих должности государственной гражданской службы в ОИВ субъекта федерации</w:t>
      </w:r>
    </w:p>
    <w:p w:rsidR="00E5601B" w:rsidRDefault="0029330C" w:rsidP="00E5601B">
      <w:pPr>
        <w:pStyle w:val="a4"/>
        <w:numPr>
          <w:ilvl w:val="1"/>
          <w:numId w:val="21"/>
        </w:numPr>
        <w:ind w:left="709" w:hanging="567"/>
      </w:pPr>
      <w:r w:rsidRPr="00E5601B">
        <w:t>Реестр государственных служащих, замещающих должности государственной гражданской службы в органах государственной власти субъекта федерации, содержащий данные о стаже государственной службы, образовании и оконченном высшем учебном заведении (актуальный)</w:t>
      </w:r>
      <w:r w:rsidR="00E5601B">
        <w:t>.</w:t>
      </w:r>
    </w:p>
    <w:p w:rsidR="00E5601B" w:rsidRPr="00E5601B" w:rsidRDefault="0029330C" w:rsidP="00E5601B">
      <w:pPr>
        <w:pStyle w:val="a4"/>
        <w:numPr>
          <w:ilvl w:val="1"/>
          <w:numId w:val="21"/>
        </w:numPr>
        <w:ind w:left="709" w:hanging="567"/>
      </w:pPr>
      <w:r w:rsidRPr="00E5601B">
        <w:rPr>
          <w:rFonts w:cs="Times New Roman"/>
        </w:rPr>
        <w:t>Утвержденные квалификационные требования к кандидатам на замещение должностей государственной гражданской службы в органах государственной власти субъекта федерации (актуальные, при наличии)</w:t>
      </w:r>
      <w:r w:rsidR="00E5601B">
        <w:rPr>
          <w:rFonts w:cs="Times New Roman"/>
        </w:rPr>
        <w:t>.</w:t>
      </w:r>
    </w:p>
    <w:p w:rsidR="0029330C" w:rsidRPr="008756DC" w:rsidRDefault="0029330C" w:rsidP="00E5601B">
      <w:pPr>
        <w:pStyle w:val="a4"/>
        <w:numPr>
          <w:ilvl w:val="1"/>
          <w:numId w:val="21"/>
        </w:numPr>
        <w:ind w:left="709" w:hanging="567"/>
      </w:pPr>
      <w:r w:rsidRPr="00F34402">
        <w:t>Ежегодные данные о численности государственных служащих, замещающих должности государственной гражданской службы в органах власти субъекта федерации, прошедшие курсы повышения квалификации</w:t>
      </w:r>
      <w:r w:rsidRPr="00E5601B">
        <w:rPr>
          <w:rFonts w:cs="Times New Roman"/>
        </w:rPr>
        <w:t xml:space="preserve"> за 2012-2015 гг. (по состоянию на конец года)</w:t>
      </w:r>
      <w:r w:rsidR="008756DC" w:rsidRPr="00E5601B">
        <w:rPr>
          <w:rFonts w:cs="Times New Roman"/>
        </w:rPr>
        <w:t>/</w:t>
      </w:r>
    </w:p>
    <w:sectPr w:rsidR="0029330C" w:rsidRPr="008756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C53" w:rsidRDefault="004A7C53" w:rsidP="0029330C">
      <w:pPr>
        <w:spacing w:line="240" w:lineRule="auto"/>
      </w:pPr>
      <w:r>
        <w:separator/>
      </w:r>
    </w:p>
  </w:endnote>
  <w:endnote w:type="continuationSeparator" w:id="0">
    <w:p w:rsidR="004A7C53" w:rsidRDefault="004A7C53" w:rsidP="00293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C53" w:rsidRDefault="004A7C53" w:rsidP="0029330C">
      <w:pPr>
        <w:spacing w:line="240" w:lineRule="auto"/>
      </w:pPr>
      <w:r>
        <w:separator/>
      </w:r>
    </w:p>
  </w:footnote>
  <w:footnote w:type="continuationSeparator" w:id="0">
    <w:p w:rsidR="004A7C53" w:rsidRDefault="004A7C53" w:rsidP="0029330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3A01F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410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B43B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E903036"/>
    <w:multiLevelType w:val="multilevel"/>
    <w:tmpl w:val="7B42167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21487C75"/>
    <w:multiLevelType w:val="hybridMultilevel"/>
    <w:tmpl w:val="E37EE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32CB3"/>
    <w:multiLevelType w:val="hybridMultilevel"/>
    <w:tmpl w:val="0570D93C"/>
    <w:lvl w:ilvl="0" w:tplc="752A4E5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3EB2685"/>
    <w:multiLevelType w:val="hybridMultilevel"/>
    <w:tmpl w:val="EC621038"/>
    <w:lvl w:ilvl="0" w:tplc="0792E9C0">
      <w:start w:val="1"/>
      <w:numFmt w:val="decimal"/>
      <w:lvlText w:val="5.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F5A06"/>
    <w:multiLevelType w:val="hybridMultilevel"/>
    <w:tmpl w:val="8FE4B3B6"/>
    <w:lvl w:ilvl="0" w:tplc="E76E1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8010D"/>
    <w:multiLevelType w:val="hybridMultilevel"/>
    <w:tmpl w:val="910A9B02"/>
    <w:lvl w:ilvl="0" w:tplc="9FB21900">
      <w:start w:val="1"/>
      <w:numFmt w:val="decimal"/>
      <w:lvlText w:val="4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B14A2"/>
    <w:multiLevelType w:val="hybridMultilevel"/>
    <w:tmpl w:val="5AB2D63C"/>
    <w:lvl w:ilvl="0" w:tplc="82207A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66772"/>
    <w:multiLevelType w:val="hybridMultilevel"/>
    <w:tmpl w:val="85A2FC60"/>
    <w:lvl w:ilvl="0" w:tplc="1FF418D8">
      <w:start w:val="1"/>
      <w:numFmt w:val="decimal"/>
      <w:lvlText w:val="2.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48728D"/>
    <w:multiLevelType w:val="hybridMultilevel"/>
    <w:tmpl w:val="A3D484A2"/>
    <w:lvl w:ilvl="0" w:tplc="B986CB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1D6D4A"/>
    <w:multiLevelType w:val="hybridMultilevel"/>
    <w:tmpl w:val="CF7A2AC2"/>
    <w:lvl w:ilvl="0" w:tplc="218A1E40">
      <w:start w:val="1"/>
      <w:numFmt w:val="decimal"/>
      <w:lvlText w:val="3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7058E"/>
    <w:multiLevelType w:val="hybridMultilevel"/>
    <w:tmpl w:val="AF387676"/>
    <w:lvl w:ilvl="0" w:tplc="A362687A">
      <w:start w:val="1"/>
      <w:numFmt w:val="decimal"/>
      <w:lvlText w:val="1.%1."/>
      <w:lvlJc w:val="left"/>
      <w:pPr>
        <w:ind w:left="1069" w:hanging="360"/>
      </w:pPr>
      <w:rPr>
        <w:rFonts w:hint="default"/>
      </w:rPr>
    </w:lvl>
    <w:lvl w:ilvl="1" w:tplc="52783218">
      <w:start w:val="1"/>
      <w:numFmt w:val="lowerLetter"/>
      <w:lvlText w:val="%2."/>
      <w:lvlJc w:val="left"/>
      <w:pPr>
        <w:ind w:left="1789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297E08"/>
    <w:multiLevelType w:val="hybridMultilevel"/>
    <w:tmpl w:val="8FE4B3B6"/>
    <w:lvl w:ilvl="0" w:tplc="E76E11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FA575E"/>
    <w:multiLevelType w:val="multilevel"/>
    <w:tmpl w:val="D848F0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C6C584F"/>
    <w:multiLevelType w:val="hybridMultilevel"/>
    <w:tmpl w:val="3C503248"/>
    <w:lvl w:ilvl="0" w:tplc="B19A0B2E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D46EFE"/>
    <w:multiLevelType w:val="hybridMultilevel"/>
    <w:tmpl w:val="C7A2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B68AA"/>
    <w:multiLevelType w:val="hybridMultilevel"/>
    <w:tmpl w:val="4A2279DE"/>
    <w:lvl w:ilvl="0" w:tplc="022ED9AC">
      <w:start w:val="1"/>
      <w:numFmt w:val="decimal"/>
      <w:lvlText w:val="7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4438D"/>
    <w:multiLevelType w:val="hybridMultilevel"/>
    <w:tmpl w:val="8FA8908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0"/>
  </w:num>
  <w:num w:numId="4">
    <w:abstractNumId w:val="11"/>
  </w:num>
  <w:num w:numId="5">
    <w:abstractNumId w:val="1"/>
  </w:num>
  <w:num w:numId="6">
    <w:abstractNumId w:val="2"/>
  </w:num>
  <w:num w:numId="7">
    <w:abstractNumId w:val="10"/>
  </w:num>
  <w:num w:numId="8">
    <w:abstractNumId w:val="12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16"/>
  </w:num>
  <w:num w:numId="14">
    <w:abstractNumId w:val="18"/>
  </w:num>
  <w:num w:numId="15">
    <w:abstractNumId w:val="7"/>
  </w:num>
  <w:num w:numId="16">
    <w:abstractNumId w:val="14"/>
  </w:num>
  <w:num w:numId="17">
    <w:abstractNumId w:val="4"/>
  </w:num>
  <w:num w:numId="18">
    <w:abstractNumId w:val="4"/>
  </w:num>
  <w:num w:numId="19">
    <w:abstractNumId w:val="19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33"/>
    <w:rsid w:val="00065804"/>
    <w:rsid w:val="000F1236"/>
    <w:rsid w:val="000F4733"/>
    <w:rsid w:val="00101C5B"/>
    <w:rsid w:val="001151E3"/>
    <w:rsid w:val="00262F73"/>
    <w:rsid w:val="0029330C"/>
    <w:rsid w:val="002A341D"/>
    <w:rsid w:val="002C1958"/>
    <w:rsid w:val="002E4F3A"/>
    <w:rsid w:val="002F2E64"/>
    <w:rsid w:val="00323231"/>
    <w:rsid w:val="00394C88"/>
    <w:rsid w:val="0043121F"/>
    <w:rsid w:val="004A1840"/>
    <w:rsid w:val="004A7C53"/>
    <w:rsid w:val="004F2973"/>
    <w:rsid w:val="005104D3"/>
    <w:rsid w:val="005274A4"/>
    <w:rsid w:val="00563012"/>
    <w:rsid w:val="005D2D8B"/>
    <w:rsid w:val="005F4A09"/>
    <w:rsid w:val="00647DE3"/>
    <w:rsid w:val="006A6D9B"/>
    <w:rsid w:val="006B3C34"/>
    <w:rsid w:val="006B5717"/>
    <w:rsid w:val="007A7160"/>
    <w:rsid w:val="007B1D52"/>
    <w:rsid w:val="007C3DA0"/>
    <w:rsid w:val="00834035"/>
    <w:rsid w:val="00865F3B"/>
    <w:rsid w:val="008756DC"/>
    <w:rsid w:val="00955476"/>
    <w:rsid w:val="00A342A2"/>
    <w:rsid w:val="00A93DEE"/>
    <w:rsid w:val="00AB4FFE"/>
    <w:rsid w:val="00AD7760"/>
    <w:rsid w:val="00B05CA0"/>
    <w:rsid w:val="00B5348F"/>
    <w:rsid w:val="00B61FE5"/>
    <w:rsid w:val="00B908CB"/>
    <w:rsid w:val="00B94580"/>
    <w:rsid w:val="00B9566E"/>
    <w:rsid w:val="00BD2772"/>
    <w:rsid w:val="00BE3D68"/>
    <w:rsid w:val="00C75259"/>
    <w:rsid w:val="00CA33ED"/>
    <w:rsid w:val="00D052BE"/>
    <w:rsid w:val="00D11531"/>
    <w:rsid w:val="00D453B3"/>
    <w:rsid w:val="00D66231"/>
    <w:rsid w:val="00D67A57"/>
    <w:rsid w:val="00DF0615"/>
    <w:rsid w:val="00E5601B"/>
    <w:rsid w:val="00E96388"/>
    <w:rsid w:val="00F34402"/>
    <w:rsid w:val="00F356E6"/>
    <w:rsid w:val="00F61E15"/>
    <w:rsid w:val="00FD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1150E-8A92-4648-BE47-A0DC1607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56E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F4733"/>
    <w:pPr>
      <w:spacing w:line="340" w:lineRule="exact"/>
      <w:ind w:left="720" w:firstLine="709"/>
      <w:contextualSpacing/>
      <w:jc w:val="both"/>
    </w:pPr>
    <w:rPr>
      <w:rFonts w:cstheme="minorBidi"/>
      <w:szCs w:val="22"/>
    </w:rPr>
  </w:style>
  <w:style w:type="table" w:styleId="a5">
    <w:name w:val="Table Grid"/>
    <w:basedOn w:val="a2"/>
    <w:uiPriority w:val="59"/>
    <w:rsid w:val="000F4733"/>
    <w:pPr>
      <w:spacing w:line="240" w:lineRule="auto"/>
    </w:pPr>
    <w:rPr>
      <w:rFonts w:ascii="Times" w:hAnsi="Times" w:cs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1"/>
    <w:uiPriority w:val="99"/>
    <w:semiHidden/>
    <w:unhideWhenUsed/>
    <w:rsid w:val="00C75259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C7525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C7525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52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5259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C752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7525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2"/>
    <w:next w:val="a5"/>
    <w:uiPriority w:val="59"/>
    <w:rsid w:val="00CA33ED"/>
    <w:pPr>
      <w:spacing w:line="240" w:lineRule="auto"/>
    </w:pPr>
    <w:rPr>
      <w:rFonts w:ascii="Times" w:hAnsi="Times" w:cs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3"/>
    <w:uiPriority w:val="99"/>
    <w:semiHidden/>
    <w:unhideWhenUsed/>
    <w:rsid w:val="0029330C"/>
  </w:style>
  <w:style w:type="paragraph" w:styleId="a">
    <w:name w:val="List Bullet"/>
    <w:basedOn w:val="a0"/>
    <w:uiPriority w:val="99"/>
    <w:unhideWhenUsed/>
    <w:rsid w:val="0029330C"/>
    <w:pPr>
      <w:numPr>
        <w:numId w:val="3"/>
      </w:numPr>
      <w:spacing w:line="240" w:lineRule="auto"/>
      <w:contextualSpacing/>
    </w:pPr>
    <w:rPr>
      <w:rFonts w:ascii="Times" w:hAnsi="Times" w:cstheme="minorHAnsi"/>
      <w:szCs w:val="22"/>
    </w:rPr>
  </w:style>
  <w:style w:type="paragraph" w:styleId="ad">
    <w:name w:val="header"/>
    <w:basedOn w:val="a0"/>
    <w:link w:val="ae"/>
    <w:uiPriority w:val="99"/>
    <w:unhideWhenUsed/>
    <w:rsid w:val="0029330C"/>
    <w:pPr>
      <w:tabs>
        <w:tab w:val="center" w:pos="4677"/>
        <w:tab w:val="right" w:pos="9355"/>
      </w:tabs>
      <w:spacing w:line="240" w:lineRule="auto"/>
    </w:pPr>
    <w:rPr>
      <w:rFonts w:ascii="Times" w:hAnsi="Times" w:cstheme="minorHAnsi"/>
      <w:szCs w:val="22"/>
    </w:rPr>
  </w:style>
  <w:style w:type="character" w:customStyle="1" w:styleId="ae">
    <w:name w:val="Верхний колонтитул Знак"/>
    <w:basedOn w:val="a1"/>
    <w:link w:val="ad"/>
    <w:uiPriority w:val="99"/>
    <w:rsid w:val="0029330C"/>
    <w:rPr>
      <w:rFonts w:ascii="Times" w:hAnsi="Times" w:cstheme="minorHAnsi"/>
      <w:szCs w:val="22"/>
    </w:rPr>
  </w:style>
  <w:style w:type="paragraph" w:styleId="af">
    <w:name w:val="footer"/>
    <w:basedOn w:val="a0"/>
    <w:link w:val="af0"/>
    <w:uiPriority w:val="99"/>
    <w:unhideWhenUsed/>
    <w:rsid w:val="0029330C"/>
    <w:pPr>
      <w:tabs>
        <w:tab w:val="center" w:pos="4677"/>
        <w:tab w:val="right" w:pos="9355"/>
      </w:tabs>
      <w:spacing w:line="240" w:lineRule="auto"/>
    </w:pPr>
    <w:rPr>
      <w:rFonts w:ascii="Times" w:hAnsi="Times" w:cstheme="minorHAnsi"/>
      <w:szCs w:val="22"/>
    </w:rPr>
  </w:style>
  <w:style w:type="character" w:customStyle="1" w:styleId="af0">
    <w:name w:val="Нижний колонтитул Знак"/>
    <w:basedOn w:val="a1"/>
    <w:link w:val="af"/>
    <w:uiPriority w:val="99"/>
    <w:rsid w:val="0029330C"/>
    <w:rPr>
      <w:rFonts w:ascii="Times" w:hAnsi="Times" w:cstheme="minorHAnsi"/>
      <w:szCs w:val="22"/>
    </w:rPr>
  </w:style>
  <w:style w:type="paragraph" w:customStyle="1" w:styleId="RAEXdefault">
    <w:name w:val="RAEX default"/>
    <w:basedOn w:val="a0"/>
    <w:next w:val="a0"/>
    <w:link w:val="RAEXdefault0"/>
    <w:qFormat/>
    <w:rsid w:val="0029330C"/>
    <w:pPr>
      <w:spacing w:line="240" w:lineRule="auto"/>
      <w:contextualSpacing/>
      <w:jc w:val="both"/>
    </w:pPr>
    <w:rPr>
      <w:rFonts w:cstheme="minorHAnsi"/>
      <w:szCs w:val="22"/>
      <w:lang w:val="en-US"/>
    </w:rPr>
  </w:style>
  <w:style w:type="character" w:customStyle="1" w:styleId="RAEXdefault0">
    <w:name w:val="RAEX default Знак"/>
    <w:basedOn w:val="a1"/>
    <w:link w:val="RAEXdefault"/>
    <w:rsid w:val="0029330C"/>
    <w:rPr>
      <w:rFonts w:cstheme="minorHAnsi"/>
      <w:szCs w:val="22"/>
      <w:lang w:val="en-US"/>
    </w:rPr>
  </w:style>
  <w:style w:type="table" w:customStyle="1" w:styleId="2">
    <w:name w:val="Сетка таблицы2"/>
    <w:basedOn w:val="a2"/>
    <w:next w:val="a5"/>
    <w:uiPriority w:val="59"/>
    <w:rsid w:val="0029330C"/>
    <w:pPr>
      <w:spacing w:line="240" w:lineRule="auto"/>
    </w:pPr>
    <w:rPr>
      <w:rFonts w:ascii="Times" w:hAnsi="Times" w:cs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link w:val="af2"/>
    <w:uiPriority w:val="99"/>
    <w:semiHidden/>
    <w:unhideWhenUsed/>
    <w:rsid w:val="0029330C"/>
    <w:pPr>
      <w:spacing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29330C"/>
    <w:rPr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2933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67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76FAC-A2EA-45D0-8C77-F04BED507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3287</Words>
  <Characters>18741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Саидат Гаджиева</cp:lastModifiedBy>
  <cp:revision>2</cp:revision>
  <cp:lastPrinted>2016-10-17T13:49:00Z</cp:lastPrinted>
  <dcterms:created xsi:type="dcterms:W3CDTF">2016-12-12T14:46:00Z</dcterms:created>
  <dcterms:modified xsi:type="dcterms:W3CDTF">2016-12-12T14:46:00Z</dcterms:modified>
</cp:coreProperties>
</file>